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left w:w="0" w:type="dxa"/>
          <w:right w:w="0" w:type="dxa"/>
        </w:tblCellMar>
        <w:tblLook w:val="01E0" w:firstRow="1" w:lastRow="1" w:firstColumn="1" w:lastColumn="1" w:noHBand="0" w:noVBand="0"/>
      </w:tblPr>
      <w:tblGrid>
        <w:gridCol w:w="2062"/>
        <w:gridCol w:w="5729"/>
        <w:gridCol w:w="6157"/>
      </w:tblGrid>
      <w:tr w:rsidR="0074352E" w:rsidTr="00E861F9">
        <w:trPr>
          <w:trHeight w:val="1520"/>
        </w:trPr>
        <w:tc>
          <w:tcPr>
            <w:tcW w:w="739" w:type="pct"/>
            <w:shd w:val="clear" w:color="auto" w:fill="DEEAF6" w:themeFill="accent1" w:themeFillTint="33"/>
          </w:tcPr>
          <w:p w:rsidR="0074352E" w:rsidRDefault="0074352E" w:rsidP="003411A5">
            <w:pPr>
              <w:pStyle w:val="TableParagraph"/>
            </w:pPr>
            <w:r>
              <w:t>Outcome</w:t>
            </w:r>
          </w:p>
        </w:tc>
        <w:tc>
          <w:tcPr>
            <w:tcW w:w="2054" w:type="pct"/>
            <w:shd w:val="clear" w:color="auto" w:fill="DEEAF6" w:themeFill="accent1" w:themeFillTint="33"/>
          </w:tcPr>
          <w:p w:rsidR="0074352E" w:rsidRDefault="0074352E" w:rsidP="003411A5">
            <w:pPr>
              <w:pStyle w:val="TableParagraph"/>
              <w:spacing w:line="288" w:lineRule="auto"/>
            </w:pPr>
            <w:r>
              <w:t>Success Criteria</w:t>
            </w:r>
          </w:p>
        </w:tc>
        <w:tc>
          <w:tcPr>
            <w:tcW w:w="2207" w:type="pct"/>
            <w:shd w:val="clear" w:color="auto" w:fill="DEEAF6" w:themeFill="accent1" w:themeFillTint="33"/>
          </w:tcPr>
          <w:p w:rsidR="0074352E" w:rsidRDefault="0074352E" w:rsidP="003411A5">
            <w:pPr>
              <w:pStyle w:val="TableParagraph"/>
            </w:pPr>
            <w:r>
              <w:t>Evaluation</w:t>
            </w:r>
          </w:p>
        </w:tc>
      </w:tr>
      <w:tr w:rsidR="0074352E" w:rsidRPr="003B0C26" w:rsidTr="00E861F9">
        <w:trPr>
          <w:trHeight w:val="1520"/>
        </w:trPr>
        <w:tc>
          <w:tcPr>
            <w:tcW w:w="739" w:type="pct"/>
          </w:tcPr>
          <w:p w:rsidR="0074352E" w:rsidRPr="00543605" w:rsidRDefault="0074352E" w:rsidP="003411A5">
            <w:pPr>
              <w:pStyle w:val="TableParagraph"/>
              <w:ind w:left="105" w:right="385"/>
            </w:pPr>
            <w:r w:rsidRPr="00543605">
              <w:t xml:space="preserve">Disadvantaged pupils in </w:t>
            </w:r>
            <w:r w:rsidRPr="0018169A">
              <w:rPr>
                <w:b/>
              </w:rPr>
              <w:t xml:space="preserve">year 5 </w:t>
            </w:r>
            <w:r w:rsidRPr="00543605">
              <w:t xml:space="preserve">make improved progress to diminish the difference between them and national others. </w:t>
            </w:r>
          </w:p>
          <w:p w:rsidR="0074352E" w:rsidRDefault="0074352E" w:rsidP="003411A5">
            <w:pPr>
              <w:pStyle w:val="TableParagraph"/>
              <w:ind w:left="105" w:right="385"/>
            </w:pPr>
          </w:p>
        </w:tc>
        <w:tc>
          <w:tcPr>
            <w:tcW w:w="2054" w:type="pct"/>
          </w:tcPr>
          <w:p w:rsidR="0074352E" w:rsidRPr="00543605" w:rsidRDefault="0074352E" w:rsidP="0074352E">
            <w:pPr>
              <w:pStyle w:val="TableParagraph"/>
              <w:numPr>
                <w:ilvl w:val="0"/>
                <w:numId w:val="6"/>
              </w:numPr>
              <w:tabs>
                <w:tab w:val="left" w:pos="822"/>
                <w:tab w:val="left" w:pos="823"/>
              </w:tabs>
              <w:spacing w:before="0"/>
            </w:pPr>
            <w:r w:rsidRPr="00543605">
              <w:t xml:space="preserve">In reading and writing 56% of disadvantaged pupils to achieve ARE by July 2019. </w:t>
            </w:r>
          </w:p>
          <w:p w:rsidR="0074352E" w:rsidRPr="00543605" w:rsidRDefault="0074352E" w:rsidP="0074352E">
            <w:pPr>
              <w:pStyle w:val="TableParagraph"/>
              <w:numPr>
                <w:ilvl w:val="0"/>
                <w:numId w:val="6"/>
              </w:numPr>
              <w:tabs>
                <w:tab w:val="left" w:pos="822"/>
                <w:tab w:val="left" w:pos="823"/>
              </w:tabs>
              <w:spacing w:before="0"/>
            </w:pPr>
            <w:r w:rsidRPr="00543605">
              <w:t xml:space="preserve">In </w:t>
            </w:r>
            <w:proofErr w:type="spellStart"/>
            <w:r w:rsidRPr="00543605">
              <w:t>maths</w:t>
            </w:r>
            <w:proofErr w:type="spellEnd"/>
            <w:r w:rsidRPr="00543605">
              <w:t xml:space="preserve"> 67% of disadvantaged pupils to achieve ARE by July 2019. </w:t>
            </w:r>
          </w:p>
          <w:p w:rsidR="0074352E" w:rsidRDefault="0074352E" w:rsidP="003411A5">
            <w:pPr>
              <w:pStyle w:val="TableParagraph"/>
              <w:spacing w:before="0"/>
            </w:pPr>
            <w:r w:rsidRPr="00543605">
              <w:t xml:space="preserve">Pupils at risk from not making expected levels of progress and meeting their end of year targets are identified at the earliest point to receive bespoke targeted intervention. </w:t>
            </w:r>
          </w:p>
        </w:tc>
        <w:tc>
          <w:tcPr>
            <w:tcW w:w="2207" w:type="pct"/>
          </w:tcPr>
          <w:p w:rsidR="0074352E" w:rsidRPr="005B1B52" w:rsidRDefault="0074352E" w:rsidP="003411A5">
            <w:pPr>
              <w:pStyle w:val="TableParagraph"/>
              <w:rPr>
                <w:b/>
              </w:rPr>
            </w:pPr>
            <w:r w:rsidRPr="005B1B52">
              <w:rPr>
                <w:b/>
              </w:rPr>
              <w:t xml:space="preserve">Year 5 </w:t>
            </w:r>
          </w:p>
          <w:p w:rsidR="0074352E" w:rsidRDefault="0074352E" w:rsidP="003411A5">
            <w:pPr>
              <w:pStyle w:val="TableParagraph"/>
              <w:ind w:left="0"/>
            </w:pPr>
            <w:r>
              <w:t xml:space="preserve"> </w:t>
            </w:r>
          </w:p>
          <w:p w:rsidR="008C168A" w:rsidRDefault="0074352E" w:rsidP="003411A5">
            <w:pPr>
              <w:pStyle w:val="TableParagraph"/>
              <w:ind w:left="0"/>
            </w:pPr>
            <w:r>
              <w:t xml:space="preserve">Pupil Premium Pupils in year 5 met or exceeded their targets last year. </w:t>
            </w:r>
            <w:r w:rsidR="008C168A">
              <w:t xml:space="preserve">The gap between pupil premium and </w:t>
            </w:r>
            <w:proofErr w:type="spellStart"/>
            <w:r w:rsidR="008C168A">
              <w:t>non pupil</w:t>
            </w:r>
            <w:proofErr w:type="spellEnd"/>
            <w:r w:rsidR="008C168A">
              <w:t xml:space="preserve"> premium remains due to high level need SEND pupils who are also pupil premium. </w:t>
            </w:r>
          </w:p>
          <w:p w:rsidR="0074352E" w:rsidRDefault="008C168A" w:rsidP="003411A5">
            <w:pPr>
              <w:pStyle w:val="TableParagraph"/>
              <w:ind w:left="0"/>
            </w:pPr>
            <w:r>
              <w:t xml:space="preserve">Moderation meetings identified pupils at risk of not meeting their targets and interventions were put in place. Many interventions were carried out at the point of learning in </w:t>
            </w:r>
            <w:r w:rsidR="003F0C7F">
              <w:t xml:space="preserve">class as well as others such as precision teaching and </w:t>
            </w:r>
            <w:proofErr w:type="spellStart"/>
            <w:r w:rsidR="003F0C7F">
              <w:t>pixl</w:t>
            </w:r>
            <w:proofErr w:type="spellEnd"/>
            <w:r w:rsidR="003F0C7F">
              <w:t xml:space="preserve"> interventions. As</w:t>
            </w:r>
            <w:r w:rsidR="00BA1A07">
              <w:t xml:space="preserve"> </w:t>
            </w:r>
            <w:bookmarkStart w:id="0" w:name="_GoBack"/>
            <w:bookmarkEnd w:id="0"/>
            <w:r w:rsidR="003F0C7F">
              <w:t xml:space="preserve">a result of swift intervention, pupils did not lose curriculum time in other subject areas. </w:t>
            </w:r>
          </w:p>
          <w:tbl>
            <w:tblPr>
              <w:tblStyle w:val="TableGrid"/>
              <w:tblpPr w:leftFromText="180" w:rightFromText="180" w:vertAnchor="page" w:horzAnchor="margin" w:tblpY="376"/>
              <w:tblOverlap w:val="never"/>
              <w:tblW w:w="4756" w:type="pct"/>
              <w:tblLook w:val="04A0" w:firstRow="1" w:lastRow="0" w:firstColumn="1" w:lastColumn="0" w:noHBand="0" w:noVBand="1"/>
            </w:tblPr>
            <w:tblGrid>
              <w:gridCol w:w="1217"/>
              <w:gridCol w:w="1044"/>
              <w:gridCol w:w="962"/>
              <w:gridCol w:w="1279"/>
              <w:gridCol w:w="1336"/>
            </w:tblGrid>
            <w:tr w:rsidR="0074352E" w:rsidTr="0074352E">
              <w:trPr>
                <w:trHeight w:val="225"/>
              </w:trPr>
              <w:tc>
                <w:tcPr>
                  <w:tcW w:w="1043" w:type="pct"/>
                </w:tcPr>
                <w:p w:rsidR="0074352E" w:rsidRDefault="0074352E" w:rsidP="003411A5">
                  <w:pPr>
                    <w:pStyle w:val="TableParagraph"/>
                    <w:ind w:left="0"/>
                  </w:pPr>
                  <w:r>
                    <w:t>Subject</w:t>
                  </w:r>
                </w:p>
              </w:tc>
              <w:tc>
                <w:tcPr>
                  <w:tcW w:w="894" w:type="pct"/>
                </w:tcPr>
                <w:p w:rsidR="0074352E" w:rsidRDefault="0074352E" w:rsidP="003411A5">
                  <w:pPr>
                    <w:pStyle w:val="TableParagraph"/>
                    <w:ind w:left="0"/>
                  </w:pPr>
                  <w:r>
                    <w:t>PPG Pupils at ARE</w:t>
                  </w:r>
                </w:p>
                <w:p w:rsidR="0074352E" w:rsidRDefault="0074352E" w:rsidP="003411A5">
                  <w:pPr>
                    <w:pStyle w:val="TableParagraph"/>
                    <w:ind w:left="0"/>
                  </w:pPr>
                  <w:r>
                    <w:t>(9 pupils)</w:t>
                  </w:r>
                </w:p>
              </w:tc>
              <w:tc>
                <w:tcPr>
                  <w:tcW w:w="824" w:type="pct"/>
                </w:tcPr>
                <w:p w:rsidR="0074352E" w:rsidRDefault="0074352E" w:rsidP="003411A5">
                  <w:pPr>
                    <w:pStyle w:val="TableParagraph"/>
                    <w:ind w:left="0"/>
                  </w:pPr>
                  <w:r>
                    <w:t>PPG Pupils target</w:t>
                  </w:r>
                </w:p>
                <w:p w:rsidR="0074352E" w:rsidRDefault="0074352E" w:rsidP="003411A5">
                  <w:pPr>
                    <w:pStyle w:val="TableParagraph"/>
                    <w:ind w:left="0"/>
                  </w:pPr>
                  <w:r>
                    <w:t>for ARE</w:t>
                  </w:r>
                </w:p>
              </w:tc>
              <w:tc>
                <w:tcPr>
                  <w:tcW w:w="1095" w:type="pct"/>
                </w:tcPr>
                <w:p w:rsidR="0074352E" w:rsidRDefault="0074352E" w:rsidP="003411A5">
                  <w:pPr>
                    <w:pStyle w:val="TableParagraph"/>
                    <w:ind w:left="0"/>
                  </w:pPr>
                  <w:r>
                    <w:t>Non PPG Pupils at ARE</w:t>
                  </w:r>
                </w:p>
                <w:p w:rsidR="0074352E" w:rsidRDefault="0074352E" w:rsidP="003411A5">
                  <w:pPr>
                    <w:pStyle w:val="TableParagraph"/>
                    <w:ind w:left="0"/>
                  </w:pPr>
                  <w:r>
                    <w:t>(17 pupils)</w:t>
                  </w:r>
                </w:p>
              </w:tc>
              <w:tc>
                <w:tcPr>
                  <w:tcW w:w="1145" w:type="pct"/>
                </w:tcPr>
                <w:p w:rsidR="0074352E" w:rsidRDefault="0074352E" w:rsidP="003411A5">
                  <w:pPr>
                    <w:pStyle w:val="TableParagraph"/>
                    <w:ind w:left="0"/>
                  </w:pPr>
                  <w:r>
                    <w:t>Non PPG Pupils target for ARE</w:t>
                  </w:r>
                </w:p>
              </w:tc>
            </w:tr>
            <w:tr w:rsidR="0074352E" w:rsidTr="0074352E">
              <w:trPr>
                <w:trHeight w:val="118"/>
              </w:trPr>
              <w:tc>
                <w:tcPr>
                  <w:tcW w:w="1043" w:type="pct"/>
                </w:tcPr>
                <w:p w:rsidR="0074352E" w:rsidRDefault="0074352E" w:rsidP="003411A5">
                  <w:pPr>
                    <w:pStyle w:val="TableParagraph"/>
                    <w:ind w:left="0"/>
                  </w:pPr>
                  <w:r>
                    <w:t>Reading</w:t>
                  </w:r>
                </w:p>
              </w:tc>
              <w:tc>
                <w:tcPr>
                  <w:tcW w:w="894" w:type="pct"/>
                </w:tcPr>
                <w:p w:rsidR="0074352E" w:rsidRDefault="0074352E" w:rsidP="003411A5">
                  <w:pPr>
                    <w:pStyle w:val="TableParagraph"/>
                    <w:ind w:left="0"/>
                  </w:pPr>
                  <w:r>
                    <w:t>56%</w:t>
                  </w:r>
                </w:p>
              </w:tc>
              <w:tc>
                <w:tcPr>
                  <w:tcW w:w="824" w:type="pct"/>
                </w:tcPr>
                <w:p w:rsidR="0074352E" w:rsidRDefault="0074352E" w:rsidP="003411A5">
                  <w:pPr>
                    <w:pStyle w:val="TableParagraph"/>
                    <w:ind w:left="0"/>
                  </w:pPr>
                  <w:r>
                    <w:t>44%</w:t>
                  </w:r>
                </w:p>
              </w:tc>
              <w:tc>
                <w:tcPr>
                  <w:tcW w:w="1095" w:type="pct"/>
                </w:tcPr>
                <w:p w:rsidR="0074352E" w:rsidRDefault="0074352E" w:rsidP="003411A5">
                  <w:pPr>
                    <w:pStyle w:val="TableParagraph"/>
                    <w:ind w:left="0"/>
                  </w:pPr>
                  <w:r>
                    <w:t>100%</w:t>
                  </w:r>
                </w:p>
              </w:tc>
              <w:tc>
                <w:tcPr>
                  <w:tcW w:w="1145" w:type="pct"/>
                </w:tcPr>
                <w:p w:rsidR="0074352E" w:rsidRDefault="0074352E" w:rsidP="003411A5">
                  <w:pPr>
                    <w:pStyle w:val="TableParagraph"/>
                    <w:ind w:left="0"/>
                  </w:pPr>
                  <w:r>
                    <w:t>100%</w:t>
                  </w:r>
                </w:p>
              </w:tc>
            </w:tr>
            <w:tr w:rsidR="0074352E" w:rsidTr="0074352E">
              <w:trPr>
                <w:trHeight w:val="112"/>
              </w:trPr>
              <w:tc>
                <w:tcPr>
                  <w:tcW w:w="1043" w:type="pct"/>
                </w:tcPr>
                <w:p w:rsidR="0074352E" w:rsidRDefault="0074352E" w:rsidP="003411A5">
                  <w:pPr>
                    <w:pStyle w:val="TableParagraph"/>
                    <w:ind w:left="0"/>
                  </w:pPr>
                  <w:r>
                    <w:t>Writing</w:t>
                  </w:r>
                </w:p>
              </w:tc>
              <w:tc>
                <w:tcPr>
                  <w:tcW w:w="894" w:type="pct"/>
                </w:tcPr>
                <w:p w:rsidR="0074352E" w:rsidRDefault="0074352E" w:rsidP="003411A5">
                  <w:pPr>
                    <w:pStyle w:val="TableParagraph"/>
                    <w:ind w:left="0"/>
                  </w:pPr>
                  <w:r>
                    <w:t>56%</w:t>
                  </w:r>
                </w:p>
              </w:tc>
              <w:tc>
                <w:tcPr>
                  <w:tcW w:w="824" w:type="pct"/>
                </w:tcPr>
                <w:p w:rsidR="0074352E" w:rsidRDefault="0074352E" w:rsidP="003411A5">
                  <w:pPr>
                    <w:pStyle w:val="TableParagraph"/>
                    <w:ind w:left="0"/>
                  </w:pPr>
                  <w:r>
                    <w:t>56%</w:t>
                  </w:r>
                </w:p>
              </w:tc>
              <w:tc>
                <w:tcPr>
                  <w:tcW w:w="1095" w:type="pct"/>
                </w:tcPr>
                <w:p w:rsidR="0074352E" w:rsidRDefault="0074352E" w:rsidP="003411A5">
                  <w:pPr>
                    <w:pStyle w:val="TableParagraph"/>
                    <w:ind w:left="0"/>
                  </w:pPr>
                  <w:r>
                    <w:t>92%</w:t>
                  </w:r>
                </w:p>
              </w:tc>
              <w:tc>
                <w:tcPr>
                  <w:tcW w:w="1145" w:type="pct"/>
                </w:tcPr>
                <w:p w:rsidR="0074352E" w:rsidRDefault="0074352E" w:rsidP="003411A5">
                  <w:pPr>
                    <w:pStyle w:val="TableParagraph"/>
                    <w:ind w:left="0"/>
                  </w:pPr>
                  <w:r>
                    <w:t>92%</w:t>
                  </w:r>
                </w:p>
              </w:tc>
            </w:tr>
            <w:tr w:rsidR="0074352E" w:rsidTr="0074352E">
              <w:trPr>
                <w:trHeight w:val="112"/>
              </w:trPr>
              <w:tc>
                <w:tcPr>
                  <w:tcW w:w="1043" w:type="pct"/>
                </w:tcPr>
                <w:p w:rsidR="0074352E" w:rsidRDefault="0074352E" w:rsidP="003411A5">
                  <w:pPr>
                    <w:pStyle w:val="TableParagraph"/>
                    <w:ind w:left="0"/>
                  </w:pPr>
                  <w:proofErr w:type="spellStart"/>
                  <w:r>
                    <w:t>Maths</w:t>
                  </w:r>
                  <w:proofErr w:type="spellEnd"/>
                </w:p>
              </w:tc>
              <w:tc>
                <w:tcPr>
                  <w:tcW w:w="894" w:type="pct"/>
                </w:tcPr>
                <w:p w:rsidR="0074352E" w:rsidRDefault="0074352E" w:rsidP="003411A5">
                  <w:pPr>
                    <w:pStyle w:val="TableParagraph"/>
                    <w:ind w:left="0"/>
                  </w:pPr>
                  <w:r>
                    <w:t>67%</w:t>
                  </w:r>
                </w:p>
              </w:tc>
              <w:tc>
                <w:tcPr>
                  <w:tcW w:w="824" w:type="pct"/>
                </w:tcPr>
                <w:p w:rsidR="0074352E" w:rsidRDefault="0074352E" w:rsidP="003411A5">
                  <w:pPr>
                    <w:pStyle w:val="TableParagraph"/>
                    <w:ind w:left="0"/>
                  </w:pPr>
                  <w:r>
                    <w:t>67%</w:t>
                  </w:r>
                </w:p>
              </w:tc>
              <w:tc>
                <w:tcPr>
                  <w:tcW w:w="1095" w:type="pct"/>
                </w:tcPr>
                <w:p w:rsidR="0074352E" w:rsidRDefault="0074352E" w:rsidP="003411A5">
                  <w:pPr>
                    <w:pStyle w:val="TableParagraph"/>
                    <w:ind w:left="0"/>
                  </w:pPr>
                  <w:r>
                    <w:t>92%</w:t>
                  </w:r>
                </w:p>
              </w:tc>
              <w:tc>
                <w:tcPr>
                  <w:tcW w:w="1145" w:type="pct"/>
                </w:tcPr>
                <w:p w:rsidR="0074352E" w:rsidRDefault="0074352E" w:rsidP="003411A5">
                  <w:pPr>
                    <w:pStyle w:val="TableParagraph"/>
                    <w:ind w:left="0"/>
                  </w:pPr>
                  <w:r>
                    <w:t>92%</w:t>
                  </w:r>
                </w:p>
              </w:tc>
            </w:tr>
          </w:tbl>
          <w:p w:rsidR="0074352E" w:rsidRDefault="0074352E" w:rsidP="003411A5">
            <w:pPr>
              <w:pStyle w:val="TableParagraph"/>
              <w:ind w:left="0"/>
            </w:pPr>
          </w:p>
          <w:p w:rsidR="0074352E" w:rsidRDefault="0074352E" w:rsidP="003411A5">
            <w:pPr>
              <w:pStyle w:val="TableParagraph"/>
              <w:ind w:left="0"/>
            </w:pPr>
          </w:p>
          <w:p w:rsidR="008C168A" w:rsidRDefault="008C168A" w:rsidP="003411A5">
            <w:pPr>
              <w:pStyle w:val="TableParagraph"/>
              <w:ind w:left="0"/>
            </w:pPr>
          </w:p>
          <w:p w:rsidR="008C168A" w:rsidRDefault="008C168A" w:rsidP="003411A5">
            <w:pPr>
              <w:pStyle w:val="TableParagraph"/>
              <w:ind w:left="0"/>
            </w:pPr>
          </w:p>
        </w:tc>
      </w:tr>
      <w:tr w:rsidR="0074352E" w:rsidRPr="0018169A" w:rsidTr="00E861F9">
        <w:trPr>
          <w:trHeight w:val="1669"/>
        </w:trPr>
        <w:tc>
          <w:tcPr>
            <w:tcW w:w="739" w:type="pct"/>
          </w:tcPr>
          <w:p w:rsidR="0074352E" w:rsidRPr="00543605" w:rsidRDefault="0074352E" w:rsidP="003411A5">
            <w:pPr>
              <w:pStyle w:val="TableParagraph"/>
              <w:ind w:left="105" w:right="132"/>
            </w:pPr>
            <w:r w:rsidRPr="00543605">
              <w:lastRenderedPageBreak/>
              <w:t xml:space="preserve">Disadvantaged pupils in </w:t>
            </w:r>
            <w:r w:rsidRPr="0018169A">
              <w:rPr>
                <w:b/>
              </w:rPr>
              <w:t xml:space="preserve">year 2 </w:t>
            </w:r>
            <w:r w:rsidRPr="00543605">
              <w:t>make improved progress to diminish the difference between them and national others.</w:t>
            </w:r>
          </w:p>
          <w:p w:rsidR="0074352E" w:rsidRDefault="0074352E" w:rsidP="003411A5">
            <w:pPr>
              <w:pStyle w:val="TableParagraph"/>
              <w:ind w:left="0" w:right="132"/>
            </w:pPr>
          </w:p>
        </w:tc>
        <w:tc>
          <w:tcPr>
            <w:tcW w:w="2054" w:type="pct"/>
          </w:tcPr>
          <w:p w:rsidR="0074352E" w:rsidRPr="00543605" w:rsidRDefault="0074352E" w:rsidP="0074352E">
            <w:pPr>
              <w:pStyle w:val="TableParagraph"/>
              <w:numPr>
                <w:ilvl w:val="0"/>
                <w:numId w:val="5"/>
              </w:numPr>
              <w:tabs>
                <w:tab w:val="left" w:pos="822"/>
                <w:tab w:val="left" w:pos="823"/>
              </w:tabs>
              <w:spacing w:before="0"/>
              <w:ind w:right="750"/>
            </w:pPr>
            <w:r w:rsidRPr="00543605">
              <w:t>In reading 75% of disadvantaged pupils to achieve ARE by July 2019.</w:t>
            </w:r>
          </w:p>
          <w:p w:rsidR="0074352E" w:rsidRPr="00543605" w:rsidRDefault="0074352E" w:rsidP="0074352E">
            <w:pPr>
              <w:pStyle w:val="TableParagraph"/>
              <w:numPr>
                <w:ilvl w:val="0"/>
                <w:numId w:val="5"/>
              </w:numPr>
              <w:tabs>
                <w:tab w:val="left" w:pos="822"/>
                <w:tab w:val="left" w:pos="823"/>
              </w:tabs>
              <w:spacing w:before="0"/>
              <w:ind w:right="750"/>
            </w:pPr>
            <w:r w:rsidRPr="00543605">
              <w:t xml:space="preserve">In writing and </w:t>
            </w:r>
            <w:proofErr w:type="spellStart"/>
            <w:r w:rsidRPr="00543605">
              <w:t>maths</w:t>
            </w:r>
            <w:proofErr w:type="spellEnd"/>
            <w:r w:rsidRPr="00543605">
              <w:t xml:space="preserve"> 50% of disadvantaged pupils to achieve ARE by July 2019. </w:t>
            </w:r>
          </w:p>
          <w:p w:rsidR="0074352E" w:rsidRDefault="0074352E" w:rsidP="003411A5">
            <w:pPr>
              <w:pStyle w:val="TableParagraph"/>
              <w:spacing w:before="0"/>
              <w:ind w:right="750"/>
            </w:pPr>
            <w:r w:rsidRPr="00543605">
              <w:t>Pupils at risk from not making expected levels of progress and meeting their end of year targets are identified at the earliest point to receive bespoke targeted intervention.</w:t>
            </w:r>
          </w:p>
        </w:tc>
        <w:tc>
          <w:tcPr>
            <w:tcW w:w="2207" w:type="pct"/>
          </w:tcPr>
          <w:p w:rsidR="008C168A" w:rsidRDefault="008C168A" w:rsidP="003411A5">
            <w:pPr>
              <w:pStyle w:val="TableParagraph"/>
              <w:ind w:left="0"/>
            </w:pPr>
            <w:r>
              <w:t>Year 2</w:t>
            </w:r>
          </w:p>
          <w:tbl>
            <w:tblPr>
              <w:tblStyle w:val="TableGrid"/>
              <w:tblpPr w:leftFromText="180" w:rightFromText="180" w:vertAnchor="page" w:horzAnchor="margin" w:tblpY="376"/>
              <w:tblOverlap w:val="never"/>
              <w:tblW w:w="4756" w:type="pct"/>
              <w:tblLook w:val="04A0" w:firstRow="1" w:lastRow="0" w:firstColumn="1" w:lastColumn="0" w:noHBand="0" w:noVBand="1"/>
            </w:tblPr>
            <w:tblGrid>
              <w:gridCol w:w="1217"/>
              <w:gridCol w:w="1044"/>
              <w:gridCol w:w="962"/>
              <w:gridCol w:w="1279"/>
              <w:gridCol w:w="1336"/>
            </w:tblGrid>
            <w:tr w:rsidR="008C168A" w:rsidTr="003411A5">
              <w:trPr>
                <w:trHeight w:val="225"/>
              </w:trPr>
              <w:tc>
                <w:tcPr>
                  <w:tcW w:w="1043" w:type="pct"/>
                </w:tcPr>
                <w:p w:rsidR="008C168A" w:rsidRDefault="008C168A" w:rsidP="008C168A">
                  <w:pPr>
                    <w:pStyle w:val="TableParagraph"/>
                    <w:ind w:left="0"/>
                  </w:pPr>
                  <w:r>
                    <w:t>Subject</w:t>
                  </w:r>
                </w:p>
              </w:tc>
              <w:tc>
                <w:tcPr>
                  <w:tcW w:w="894" w:type="pct"/>
                </w:tcPr>
                <w:p w:rsidR="008C168A" w:rsidRDefault="008C168A" w:rsidP="008C168A">
                  <w:pPr>
                    <w:pStyle w:val="TableParagraph"/>
                    <w:ind w:left="0"/>
                  </w:pPr>
                  <w:r>
                    <w:t>PPG Pupils at ARE</w:t>
                  </w:r>
                </w:p>
                <w:p w:rsidR="008C168A" w:rsidRDefault="008C168A" w:rsidP="008C168A">
                  <w:pPr>
                    <w:pStyle w:val="TableParagraph"/>
                    <w:ind w:left="0"/>
                  </w:pPr>
                  <w:r>
                    <w:t>(</w:t>
                  </w:r>
                  <w:r w:rsidR="00E861F9">
                    <w:t xml:space="preserve"> 7 </w:t>
                  </w:r>
                  <w:r>
                    <w:t>pupils)</w:t>
                  </w:r>
                </w:p>
              </w:tc>
              <w:tc>
                <w:tcPr>
                  <w:tcW w:w="824" w:type="pct"/>
                </w:tcPr>
                <w:p w:rsidR="008C168A" w:rsidRDefault="008C168A" w:rsidP="008C168A">
                  <w:pPr>
                    <w:pStyle w:val="TableParagraph"/>
                    <w:ind w:left="0"/>
                  </w:pPr>
                  <w:r>
                    <w:t>PPG Pupils target</w:t>
                  </w:r>
                </w:p>
                <w:p w:rsidR="008C168A" w:rsidRDefault="008C168A" w:rsidP="008C168A">
                  <w:pPr>
                    <w:pStyle w:val="TableParagraph"/>
                    <w:ind w:left="0"/>
                  </w:pPr>
                  <w:r>
                    <w:t>for ARE</w:t>
                  </w:r>
                </w:p>
              </w:tc>
              <w:tc>
                <w:tcPr>
                  <w:tcW w:w="1095" w:type="pct"/>
                </w:tcPr>
                <w:p w:rsidR="008C168A" w:rsidRDefault="008C168A" w:rsidP="008C168A">
                  <w:pPr>
                    <w:pStyle w:val="TableParagraph"/>
                    <w:ind w:left="0"/>
                  </w:pPr>
                  <w:r>
                    <w:t>Non PPG Pupils at ARE</w:t>
                  </w:r>
                </w:p>
                <w:p w:rsidR="008C168A" w:rsidRDefault="00E861F9" w:rsidP="008C168A">
                  <w:pPr>
                    <w:pStyle w:val="TableParagraph"/>
                    <w:ind w:left="0"/>
                  </w:pPr>
                  <w:r>
                    <w:t>(20</w:t>
                  </w:r>
                  <w:r w:rsidR="008C168A">
                    <w:t xml:space="preserve"> pupils)</w:t>
                  </w:r>
                </w:p>
              </w:tc>
              <w:tc>
                <w:tcPr>
                  <w:tcW w:w="1145" w:type="pct"/>
                </w:tcPr>
                <w:p w:rsidR="008C168A" w:rsidRDefault="008C168A" w:rsidP="008C168A">
                  <w:pPr>
                    <w:pStyle w:val="TableParagraph"/>
                    <w:ind w:left="0"/>
                  </w:pPr>
                  <w:r>
                    <w:t>Non PPG Pupils target for ARE</w:t>
                  </w:r>
                </w:p>
              </w:tc>
            </w:tr>
            <w:tr w:rsidR="008C168A" w:rsidTr="003411A5">
              <w:trPr>
                <w:trHeight w:val="118"/>
              </w:trPr>
              <w:tc>
                <w:tcPr>
                  <w:tcW w:w="1043" w:type="pct"/>
                </w:tcPr>
                <w:p w:rsidR="008C168A" w:rsidRDefault="008C168A" w:rsidP="008C168A">
                  <w:pPr>
                    <w:pStyle w:val="TableParagraph"/>
                    <w:ind w:left="0"/>
                  </w:pPr>
                  <w:r>
                    <w:t>Reading</w:t>
                  </w:r>
                </w:p>
              </w:tc>
              <w:tc>
                <w:tcPr>
                  <w:tcW w:w="894" w:type="pct"/>
                </w:tcPr>
                <w:p w:rsidR="008C168A" w:rsidRDefault="008C168A" w:rsidP="008C168A">
                  <w:pPr>
                    <w:pStyle w:val="TableParagraph"/>
                    <w:ind w:left="0"/>
                  </w:pPr>
                  <w:r>
                    <w:t>57%</w:t>
                  </w:r>
                </w:p>
              </w:tc>
              <w:tc>
                <w:tcPr>
                  <w:tcW w:w="824" w:type="pct"/>
                </w:tcPr>
                <w:p w:rsidR="008C168A" w:rsidRDefault="008C168A" w:rsidP="008C168A">
                  <w:pPr>
                    <w:pStyle w:val="TableParagraph"/>
                    <w:ind w:left="0"/>
                  </w:pPr>
                  <w:r>
                    <w:t>71%</w:t>
                  </w:r>
                </w:p>
              </w:tc>
              <w:tc>
                <w:tcPr>
                  <w:tcW w:w="1095" w:type="pct"/>
                </w:tcPr>
                <w:p w:rsidR="008C168A" w:rsidRDefault="008C168A" w:rsidP="008C168A">
                  <w:pPr>
                    <w:pStyle w:val="TableParagraph"/>
                    <w:ind w:left="0"/>
                  </w:pPr>
                  <w:r>
                    <w:t>70%</w:t>
                  </w:r>
                </w:p>
              </w:tc>
              <w:tc>
                <w:tcPr>
                  <w:tcW w:w="1145" w:type="pct"/>
                </w:tcPr>
                <w:p w:rsidR="008C168A" w:rsidRDefault="008C168A" w:rsidP="008C168A">
                  <w:pPr>
                    <w:pStyle w:val="TableParagraph"/>
                    <w:ind w:left="0"/>
                  </w:pPr>
                  <w:r>
                    <w:t>75%</w:t>
                  </w:r>
                </w:p>
              </w:tc>
            </w:tr>
            <w:tr w:rsidR="008C168A" w:rsidTr="003411A5">
              <w:trPr>
                <w:trHeight w:val="112"/>
              </w:trPr>
              <w:tc>
                <w:tcPr>
                  <w:tcW w:w="1043" w:type="pct"/>
                </w:tcPr>
                <w:p w:rsidR="008C168A" w:rsidRDefault="008C168A" w:rsidP="008C168A">
                  <w:pPr>
                    <w:pStyle w:val="TableParagraph"/>
                    <w:ind w:left="0"/>
                  </w:pPr>
                  <w:r>
                    <w:t>Writing</w:t>
                  </w:r>
                </w:p>
              </w:tc>
              <w:tc>
                <w:tcPr>
                  <w:tcW w:w="894" w:type="pct"/>
                </w:tcPr>
                <w:p w:rsidR="008C168A" w:rsidRDefault="008C168A" w:rsidP="008C168A">
                  <w:pPr>
                    <w:pStyle w:val="TableParagraph"/>
                    <w:ind w:left="0"/>
                  </w:pPr>
                  <w:r>
                    <w:t>43%</w:t>
                  </w:r>
                </w:p>
              </w:tc>
              <w:tc>
                <w:tcPr>
                  <w:tcW w:w="824" w:type="pct"/>
                </w:tcPr>
                <w:p w:rsidR="008C168A" w:rsidRDefault="008C168A" w:rsidP="008C168A">
                  <w:pPr>
                    <w:pStyle w:val="TableParagraph"/>
                    <w:ind w:left="0"/>
                  </w:pPr>
                  <w:r>
                    <w:t>57%</w:t>
                  </w:r>
                </w:p>
              </w:tc>
              <w:tc>
                <w:tcPr>
                  <w:tcW w:w="1095" w:type="pct"/>
                </w:tcPr>
                <w:p w:rsidR="008C168A" w:rsidRDefault="008C168A" w:rsidP="008C168A">
                  <w:pPr>
                    <w:pStyle w:val="TableParagraph"/>
                    <w:ind w:left="0"/>
                  </w:pPr>
                  <w:r>
                    <w:t>65%</w:t>
                  </w:r>
                </w:p>
              </w:tc>
              <w:tc>
                <w:tcPr>
                  <w:tcW w:w="1145" w:type="pct"/>
                </w:tcPr>
                <w:p w:rsidR="008C168A" w:rsidRDefault="008C168A" w:rsidP="008C168A">
                  <w:pPr>
                    <w:pStyle w:val="TableParagraph"/>
                    <w:ind w:left="0"/>
                  </w:pPr>
                  <w:r>
                    <w:t>70%</w:t>
                  </w:r>
                </w:p>
              </w:tc>
            </w:tr>
            <w:tr w:rsidR="008C168A" w:rsidTr="003411A5">
              <w:trPr>
                <w:trHeight w:val="112"/>
              </w:trPr>
              <w:tc>
                <w:tcPr>
                  <w:tcW w:w="1043" w:type="pct"/>
                </w:tcPr>
                <w:p w:rsidR="008C168A" w:rsidRDefault="008C168A" w:rsidP="008C168A">
                  <w:pPr>
                    <w:pStyle w:val="TableParagraph"/>
                    <w:ind w:left="0"/>
                  </w:pPr>
                  <w:proofErr w:type="spellStart"/>
                  <w:r>
                    <w:t>Maths</w:t>
                  </w:r>
                  <w:proofErr w:type="spellEnd"/>
                </w:p>
              </w:tc>
              <w:tc>
                <w:tcPr>
                  <w:tcW w:w="894" w:type="pct"/>
                </w:tcPr>
                <w:p w:rsidR="008C168A" w:rsidRDefault="008C168A" w:rsidP="008C168A">
                  <w:pPr>
                    <w:pStyle w:val="TableParagraph"/>
                    <w:ind w:left="0"/>
                  </w:pPr>
                  <w:r>
                    <w:t>57%</w:t>
                  </w:r>
                </w:p>
              </w:tc>
              <w:tc>
                <w:tcPr>
                  <w:tcW w:w="824" w:type="pct"/>
                </w:tcPr>
                <w:p w:rsidR="008C168A" w:rsidRDefault="008C168A" w:rsidP="008C168A">
                  <w:pPr>
                    <w:pStyle w:val="TableParagraph"/>
                    <w:ind w:left="0"/>
                  </w:pPr>
                  <w:r>
                    <w:t>57%</w:t>
                  </w:r>
                </w:p>
              </w:tc>
              <w:tc>
                <w:tcPr>
                  <w:tcW w:w="1095" w:type="pct"/>
                </w:tcPr>
                <w:p w:rsidR="008C168A" w:rsidRDefault="008C168A" w:rsidP="008C168A">
                  <w:pPr>
                    <w:pStyle w:val="TableParagraph"/>
                    <w:ind w:left="0"/>
                  </w:pPr>
                  <w:r>
                    <w:t>80%</w:t>
                  </w:r>
                </w:p>
              </w:tc>
              <w:tc>
                <w:tcPr>
                  <w:tcW w:w="1145" w:type="pct"/>
                </w:tcPr>
                <w:p w:rsidR="008C168A" w:rsidRDefault="008C168A" w:rsidP="008C168A">
                  <w:pPr>
                    <w:pStyle w:val="TableParagraph"/>
                    <w:ind w:left="0"/>
                  </w:pPr>
                  <w:r>
                    <w:t>85%</w:t>
                  </w:r>
                </w:p>
              </w:tc>
            </w:tr>
          </w:tbl>
          <w:p w:rsidR="0074352E" w:rsidRDefault="0074352E" w:rsidP="003411A5">
            <w:pPr>
              <w:pStyle w:val="TableParagraph"/>
              <w:ind w:left="0"/>
            </w:pPr>
            <w:r w:rsidRPr="0018169A">
              <w:t xml:space="preserve"> </w:t>
            </w:r>
            <w:r w:rsidR="008C168A" w:rsidRPr="003F0C7F">
              <w:t>Note – Target</w:t>
            </w:r>
            <w:r w:rsidR="00E861F9" w:rsidRPr="003F0C7F">
              <w:t>s</w:t>
            </w:r>
            <w:r w:rsidR="008C168A" w:rsidRPr="003F0C7F">
              <w:t xml:space="preserve"> for pupil premium children changed due to mobility.</w:t>
            </w:r>
            <w:r w:rsidR="008C168A">
              <w:t xml:space="preserve"> </w:t>
            </w:r>
          </w:p>
          <w:p w:rsidR="008C168A" w:rsidRDefault="008C168A" w:rsidP="003411A5">
            <w:pPr>
              <w:pStyle w:val="TableParagraph"/>
              <w:ind w:left="0"/>
            </w:pPr>
            <w:r>
              <w:t xml:space="preserve"> Instability in teachers has had an impact on data this year. </w:t>
            </w:r>
          </w:p>
          <w:p w:rsidR="008C168A" w:rsidRDefault="008C168A" w:rsidP="003411A5">
            <w:pPr>
              <w:pStyle w:val="TableParagraph"/>
              <w:ind w:left="0"/>
            </w:pPr>
            <w:r>
              <w:t xml:space="preserve"> Inte</w:t>
            </w:r>
            <w:r w:rsidR="00E861F9">
              <w:t xml:space="preserve">nsive support was given to the class. </w:t>
            </w:r>
          </w:p>
          <w:p w:rsidR="00E861F9" w:rsidRDefault="00E861F9" w:rsidP="003411A5">
            <w:pPr>
              <w:pStyle w:val="TableParagraph"/>
              <w:ind w:left="0"/>
            </w:pPr>
            <w:r>
              <w:t xml:space="preserve"> </w:t>
            </w:r>
            <w:proofErr w:type="spellStart"/>
            <w:r>
              <w:t>Pixl</w:t>
            </w:r>
            <w:proofErr w:type="spellEnd"/>
            <w:r>
              <w:t xml:space="preserve"> interventions were used to diagnose gaps in learning and close gaps and will continue to be used this year. </w:t>
            </w:r>
          </w:p>
          <w:p w:rsidR="00E861F9" w:rsidRDefault="00E861F9" w:rsidP="003411A5">
            <w:pPr>
              <w:pStyle w:val="TableParagraph"/>
              <w:ind w:left="0"/>
            </w:pPr>
            <w:r>
              <w:t>Low numbers of pupil premium pupils means each child is worth 14%.</w:t>
            </w:r>
          </w:p>
          <w:p w:rsidR="00E861F9" w:rsidRDefault="00E861F9" w:rsidP="003411A5">
            <w:pPr>
              <w:pStyle w:val="TableParagraph"/>
              <w:ind w:left="0"/>
            </w:pPr>
            <w:r>
              <w:t xml:space="preserve">1 child did not meet their target of ARE in writing and </w:t>
            </w:r>
            <w:proofErr w:type="spellStart"/>
            <w:r>
              <w:t>maths</w:t>
            </w:r>
            <w:proofErr w:type="spellEnd"/>
            <w:r>
              <w:t xml:space="preserve">. </w:t>
            </w:r>
            <w:proofErr w:type="spellStart"/>
            <w:r>
              <w:t>Mrs</w:t>
            </w:r>
            <w:proofErr w:type="spellEnd"/>
            <w:r>
              <w:t xml:space="preserve"> Coleman, our </w:t>
            </w:r>
            <w:proofErr w:type="spellStart"/>
            <w:r>
              <w:t>Pixl</w:t>
            </w:r>
            <w:proofErr w:type="spellEnd"/>
            <w:r>
              <w:t xml:space="preserve"> intervention lead will be teaching the class next year. </w:t>
            </w:r>
          </w:p>
          <w:p w:rsidR="00E861F9" w:rsidRPr="0018169A" w:rsidRDefault="00E861F9" w:rsidP="003411A5">
            <w:pPr>
              <w:pStyle w:val="TableParagraph"/>
              <w:ind w:left="0"/>
            </w:pPr>
          </w:p>
        </w:tc>
      </w:tr>
      <w:tr w:rsidR="0074352E" w:rsidRPr="003B0C26" w:rsidTr="001F2E07">
        <w:trPr>
          <w:trHeight w:val="4385"/>
        </w:trPr>
        <w:tc>
          <w:tcPr>
            <w:tcW w:w="739" w:type="pct"/>
          </w:tcPr>
          <w:p w:rsidR="0074352E" w:rsidRPr="005C0B4B" w:rsidRDefault="0074352E" w:rsidP="003411A5">
            <w:pPr>
              <w:pStyle w:val="TableParagraph"/>
              <w:ind w:left="105" w:right="479"/>
            </w:pPr>
            <w:r w:rsidRPr="00543605">
              <w:t xml:space="preserve">Disadvantaged pupils make improved progress to impact on the number of pupils working at greater </w:t>
            </w:r>
            <w:r>
              <w:t>depth.</w:t>
            </w:r>
          </w:p>
        </w:tc>
        <w:tc>
          <w:tcPr>
            <w:tcW w:w="2054" w:type="pct"/>
          </w:tcPr>
          <w:p w:rsidR="0074352E" w:rsidRPr="00543605" w:rsidRDefault="0074352E" w:rsidP="0074352E">
            <w:pPr>
              <w:pStyle w:val="TableParagraph"/>
              <w:numPr>
                <w:ilvl w:val="0"/>
                <w:numId w:val="4"/>
              </w:numPr>
              <w:tabs>
                <w:tab w:val="left" w:pos="822"/>
                <w:tab w:val="left" w:pos="823"/>
              </w:tabs>
              <w:ind w:right="759"/>
            </w:pPr>
            <w:r w:rsidRPr="00543605">
              <w:t>All disadvantaged pupils targeted to achieve greater depth meet their targets by July 2019.</w:t>
            </w:r>
          </w:p>
          <w:p w:rsidR="0074352E" w:rsidRPr="00543605" w:rsidRDefault="0074352E" w:rsidP="0074352E">
            <w:pPr>
              <w:pStyle w:val="TableParagraph"/>
              <w:numPr>
                <w:ilvl w:val="0"/>
                <w:numId w:val="4"/>
              </w:numPr>
              <w:tabs>
                <w:tab w:val="left" w:pos="822"/>
                <w:tab w:val="left" w:pos="823"/>
              </w:tabs>
              <w:ind w:right="759"/>
            </w:pPr>
            <w:r w:rsidRPr="00543605">
              <w:t>Pupils at risk from not making expected levels of progress and meeting their end of year targets are identified at the earliest point to receive bespoke targeted intervention.</w:t>
            </w:r>
          </w:p>
          <w:p w:rsidR="0074352E" w:rsidRDefault="0074352E" w:rsidP="003411A5">
            <w:pPr>
              <w:pStyle w:val="TableParagraph"/>
              <w:ind w:right="759"/>
            </w:pPr>
          </w:p>
        </w:tc>
        <w:tc>
          <w:tcPr>
            <w:tcW w:w="2207" w:type="pct"/>
          </w:tcPr>
          <w:tbl>
            <w:tblPr>
              <w:tblStyle w:val="TableGrid"/>
              <w:tblW w:w="0" w:type="auto"/>
              <w:tblInd w:w="102" w:type="dxa"/>
              <w:tblLook w:val="04A0" w:firstRow="1" w:lastRow="0" w:firstColumn="1" w:lastColumn="0" w:noHBand="0" w:noVBand="1"/>
            </w:tblPr>
            <w:tblGrid>
              <w:gridCol w:w="2004"/>
              <w:gridCol w:w="2015"/>
              <w:gridCol w:w="2016"/>
            </w:tblGrid>
            <w:tr w:rsidR="00EB5606" w:rsidTr="00EB5606">
              <w:tc>
                <w:tcPr>
                  <w:tcW w:w="2045" w:type="dxa"/>
                </w:tcPr>
                <w:p w:rsidR="00EB5606" w:rsidRDefault="00EB5606" w:rsidP="003411A5">
                  <w:pPr>
                    <w:pStyle w:val="TableParagraph"/>
                    <w:ind w:left="0"/>
                  </w:pPr>
                  <w:r>
                    <w:t>Class</w:t>
                  </w:r>
                </w:p>
              </w:tc>
              <w:tc>
                <w:tcPr>
                  <w:tcW w:w="2046" w:type="dxa"/>
                </w:tcPr>
                <w:p w:rsidR="00EB5606" w:rsidRDefault="00EB5606" w:rsidP="003411A5">
                  <w:pPr>
                    <w:pStyle w:val="TableParagraph"/>
                    <w:ind w:left="0"/>
                  </w:pPr>
                  <w:r>
                    <w:t>% Targeted Greater Depth</w:t>
                  </w:r>
                </w:p>
              </w:tc>
              <w:tc>
                <w:tcPr>
                  <w:tcW w:w="2046" w:type="dxa"/>
                </w:tcPr>
                <w:p w:rsidR="00EB5606" w:rsidRDefault="00EB5606" w:rsidP="003411A5">
                  <w:pPr>
                    <w:pStyle w:val="TableParagraph"/>
                    <w:ind w:left="0"/>
                  </w:pPr>
                  <w:r>
                    <w:t>% Achieved Greater Depth</w:t>
                  </w:r>
                </w:p>
              </w:tc>
            </w:tr>
            <w:tr w:rsidR="00EB5606" w:rsidTr="00EB5606">
              <w:tc>
                <w:tcPr>
                  <w:tcW w:w="2045" w:type="dxa"/>
                </w:tcPr>
                <w:p w:rsidR="00EB5606" w:rsidRDefault="001F2E07" w:rsidP="003411A5">
                  <w:pPr>
                    <w:pStyle w:val="TableParagraph"/>
                    <w:ind w:left="0"/>
                  </w:pPr>
                  <w:r>
                    <w:t>Year 1</w:t>
                  </w:r>
                </w:p>
              </w:tc>
              <w:tc>
                <w:tcPr>
                  <w:tcW w:w="2046" w:type="dxa"/>
                </w:tcPr>
                <w:p w:rsidR="00EB5606" w:rsidRDefault="001F2E07" w:rsidP="003411A5">
                  <w:pPr>
                    <w:pStyle w:val="TableParagraph"/>
                    <w:ind w:left="0"/>
                  </w:pPr>
                  <w:r>
                    <w:t>R -11%</w:t>
                  </w:r>
                </w:p>
                <w:p w:rsidR="001F2E07" w:rsidRDefault="001F2E07" w:rsidP="003411A5">
                  <w:pPr>
                    <w:pStyle w:val="TableParagraph"/>
                    <w:ind w:left="0"/>
                  </w:pPr>
                  <w:r>
                    <w:t>W – 11%</w:t>
                  </w:r>
                </w:p>
                <w:p w:rsidR="001F2E07" w:rsidRDefault="001F2E07" w:rsidP="003411A5">
                  <w:pPr>
                    <w:pStyle w:val="TableParagraph"/>
                    <w:ind w:left="0"/>
                  </w:pPr>
                  <w:r>
                    <w:t>M -0%</w:t>
                  </w:r>
                </w:p>
              </w:tc>
              <w:tc>
                <w:tcPr>
                  <w:tcW w:w="2046" w:type="dxa"/>
                </w:tcPr>
                <w:p w:rsidR="00EB5606" w:rsidRDefault="001F2E07" w:rsidP="003411A5">
                  <w:pPr>
                    <w:pStyle w:val="TableParagraph"/>
                    <w:ind w:left="0"/>
                  </w:pPr>
                  <w:r>
                    <w:t>R – 0%</w:t>
                  </w:r>
                </w:p>
                <w:p w:rsidR="001F2E07" w:rsidRDefault="001F2E07" w:rsidP="003411A5">
                  <w:pPr>
                    <w:pStyle w:val="TableParagraph"/>
                    <w:ind w:left="0"/>
                  </w:pPr>
                  <w:r>
                    <w:t>W – 0%</w:t>
                  </w:r>
                </w:p>
                <w:p w:rsidR="001F2E07" w:rsidRDefault="001F2E07" w:rsidP="003411A5">
                  <w:pPr>
                    <w:pStyle w:val="TableParagraph"/>
                    <w:ind w:left="0"/>
                  </w:pPr>
                  <w:r>
                    <w:t>M – 0%</w:t>
                  </w:r>
                </w:p>
              </w:tc>
            </w:tr>
            <w:tr w:rsidR="00EB5606" w:rsidTr="00EB5606">
              <w:tc>
                <w:tcPr>
                  <w:tcW w:w="2045" w:type="dxa"/>
                </w:tcPr>
                <w:p w:rsidR="00EB5606" w:rsidRDefault="003F0C7F" w:rsidP="003411A5">
                  <w:pPr>
                    <w:pStyle w:val="TableParagraph"/>
                    <w:ind w:left="0"/>
                  </w:pPr>
                  <w:r>
                    <w:t>Year 2</w:t>
                  </w:r>
                </w:p>
              </w:tc>
              <w:tc>
                <w:tcPr>
                  <w:tcW w:w="2046" w:type="dxa"/>
                </w:tcPr>
                <w:p w:rsidR="00EB5606" w:rsidRDefault="003F0C7F" w:rsidP="003411A5">
                  <w:pPr>
                    <w:pStyle w:val="TableParagraph"/>
                    <w:ind w:left="0"/>
                  </w:pPr>
                  <w:r>
                    <w:t>R -25%</w:t>
                  </w:r>
                </w:p>
                <w:p w:rsidR="003F0C7F" w:rsidRDefault="003F0C7F" w:rsidP="003411A5">
                  <w:pPr>
                    <w:pStyle w:val="TableParagraph"/>
                    <w:ind w:left="0"/>
                  </w:pPr>
                  <w:r>
                    <w:t>W – 0%</w:t>
                  </w:r>
                </w:p>
                <w:p w:rsidR="003F0C7F" w:rsidRDefault="003F0C7F" w:rsidP="003411A5">
                  <w:pPr>
                    <w:pStyle w:val="TableParagraph"/>
                    <w:ind w:left="0"/>
                  </w:pPr>
                  <w:r>
                    <w:t>M- 0%</w:t>
                  </w:r>
                </w:p>
              </w:tc>
              <w:tc>
                <w:tcPr>
                  <w:tcW w:w="2046" w:type="dxa"/>
                </w:tcPr>
                <w:p w:rsidR="001F2E07" w:rsidRDefault="001F2E07" w:rsidP="001F2E07">
                  <w:pPr>
                    <w:pStyle w:val="TableParagraph"/>
                    <w:ind w:left="0"/>
                  </w:pPr>
                  <w:r>
                    <w:t>R –</w:t>
                  </w:r>
                  <w:r>
                    <w:t xml:space="preserve"> 14%</w:t>
                  </w:r>
                </w:p>
                <w:p w:rsidR="001F2E07" w:rsidRDefault="001F2E07" w:rsidP="001F2E07">
                  <w:pPr>
                    <w:pStyle w:val="TableParagraph"/>
                    <w:ind w:left="0"/>
                  </w:pPr>
                  <w:r>
                    <w:t>W –</w:t>
                  </w:r>
                  <w:r>
                    <w:t xml:space="preserve"> 0%</w:t>
                  </w:r>
                </w:p>
                <w:p w:rsidR="00EB5606" w:rsidRDefault="001F2E07" w:rsidP="001F2E07">
                  <w:pPr>
                    <w:pStyle w:val="TableParagraph"/>
                    <w:ind w:left="0"/>
                  </w:pPr>
                  <w:r>
                    <w:t xml:space="preserve">M </w:t>
                  </w:r>
                  <w:r>
                    <w:t>– 0%</w:t>
                  </w:r>
                </w:p>
              </w:tc>
            </w:tr>
            <w:tr w:rsidR="00EB5606" w:rsidTr="00EB5606">
              <w:tc>
                <w:tcPr>
                  <w:tcW w:w="2045" w:type="dxa"/>
                </w:tcPr>
                <w:p w:rsidR="00EB5606" w:rsidRDefault="003F0C7F" w:rsidP="003411A5">
                  <w:pPr>
                    <w:pStyle w:val="TableParagraph"/>
                    <w:ind w:left="0"/>
                  </w:pPr>
                  <w:r>
                    <w:t>Year 3</w:t>
                  </w:r>
                </w:p>
              </w:tc>
              <w:tc>
                <w:tcPr>
                  <w:tcW w:w="2046" w:type="dxa"/>
                </w:tcPr>
                <w:p w:rsidR="00EB5606" w:rsidRDefault="003F0C7F" w:rsidP="003411A5">
                  <w:pPr>
                    <w:pStyle w:val="TableParagraph"/>
                    <w:ind w:left="0"/>
                  </w:pPr>
                  <w:r>
                    <w:t>R -9%</w:t>
                  </w:r>
                </w:p>
                <w:p w:rsidR="003F0C7F" w:rsidRDefault="003F0C7F" w:rsidP="003411A5">
                  <w:pPr>
                    <w:pStyle w:val="TableParagraph"/>
                    <w:ind w:left="0"/>
                  </w:pPr>
                  <w:r>
                    <w:t>W -0%</w:t>
                  </w:r>
                </w:p>
                <w:p w:rsidR="003F0C7F" w:rsidRDefault="003F0C7F" w:rsidP="003411A5">
                  <w:pPr>
                    <w:pStyle w:val="TableParagraph"/>
                    <w:ind w:left="0"/>
                  </w:pPr>
                  <w:r>
                    <w:t>M -18%</w:t>
                  </w:r>
                </w:p>
              </w:tc>
              <w:tc>
                <w:tcPr>
                  <w:tcW w:w="2046" w:type="dxa"/>
                </w:tcPr>
                <w:p w:rsidR="001F2E07" w:rsidRDefault="001F2E07" w:rsidP="001F2E07">
                  <w:pPr>
                    <w:pStyle w:val="TableParagraph"/>
                    <w:ind w:left="0"/>
                  </w:pPr>
                  <w:r>
                    <w:t>R –</w:t>
                  </w:r>
                  <w:r>
                    <w:t xml:space="preserve"> 10%</w:t>
                  </w:r>
                </w:p>
                <w:p w:rsidR="001F2E07" w:rsidRDefault="001F2E07" w:rsidP="001F2E07">
                  <w:pPr>
                    <w:pStyle w:val="TableParagraph"/>
                    <w:ind w:left="0"/>
                  </w:pPr>
                  <w:r>
                    <w:t>W –</w:t>
                  </w:r>
                  <w:r>
                    <w:t xml:space="preserve"> 10%</w:t>
                  </w:r>
                </w:p>
                <w:p w:rsidR="00EB5606" w:rsidRDefault="001F2E07" w:rsidP="001F2E07">
                  <w:pPr>
                    <w:pStyle w:val="TableParagraph"/>
                    <w:ind w:left="0"/>
                  </w:pPr>
                  <w:r>
                    <w:t xml:space="preserve">M </w:t>
                  </w:r>
                  <w:r>
                    <w:t>– 20%</w:t>
                  </w:r>
                </w:p>
              </w:tc>
            </w:tr>
            <w:tr w:rsidR="00EB5606" w:rsidTr="00EB5606">
              <w:tc>
                <w:tcPr>
                  <w:tcW w:w="2045" w:type="dxa"/>
                </w:tcPr>
                <w:p w:rsidR="00EB5606" w:rsidRDefault="003F0C7F" w:rsidP="003411A5">
                  <w:pPr>
                    <w:pStyle w:val="TableParagraph"/>
                    <w:ind w:left="0"/>
                  </w:pPr>
                  <w:r>
                    <w:t>Year 4</w:t>
                  </w:r>
                </w:p>
              </w:tc>
              <w:tc>
                <w:tcPr>
                  <w:tcW w:w="2046" w:type="dxa"/>
                </w:tcPr>
                <w:p w:rsidR="00EB5606" w:rsidRDefault="003F0C7F" w:rsidP="003411A5">
                  <w:pPr>
                    <w:pStyle w:val="TableParagraph"/>
                    <w:ind w:left="0"/>
                  </w:pPr>
                  <w:r>
                    <w:t>R -10%</w:t>
                  </w:r>
                </w:p>
                <w:p w:rsidR="003F0C7F" w:rsidRDefault="003F0C7F" w:rsidP="003411A5">
                  <w:pPr>
                    <w:pStyle w:val="TableParagraph"/>
                    <w:ind w:left="0"/>
                  </w:pPr>
                  <w:r>
                    <w:t>W -10%</w:t>
                  </w:r>
                </w:p>
                <w:p w:rsidR="003F0C7F" w:rsidRDefault="003F0C7F" w:rsidP="003411A5">
                  <w:pPr>
                    <w:pStyle w:val="TableParagraph"/>
                    <w:ind w:left="0"/>
                  </w:pPr>
                  <w:r>
                    <w:t>M – 20%</w:t>
                  </w:r>
                </w:p>
              </w:tc>
              <w:tc>
                <w:tcPr>
                  <w:tcW w:w="2046" w:type="dxa"/>
                </w:tcPr>
                <w:p w:rsidR="001F2E07" w:rsidRDefault="001F2E07" w:rsidP="001F2E07">
                  <w:pPr>
                    <w:pStyle w:val="TableParagraph"/>
                    <w:ind w:left="0"/>
                  </w:pPr>
                  <w:r>
                    <w:t>R –</w:t>
                  </w:r>
                  <w:r>
                    <w:t xml:space="preserve"> 10%</w:t>
                  </w:r>
                </w:p>
                <w:p w:rsidR="001F2E07" w:rsidRDefault="001F2E07" w:rsidP="001F2E07">
                  <w:pPr>
                    <w:pStyle w:val="TableParagraph"/>
                    <w:ind w:left="0"/>
                  </w:pPr>
                  <w:r>
                    <w:t>W –</w:t>
                  </w:r>
                  <w:r>
                    <w:t xml:space="preserve"> 10%</w:t>
                  </w:r>
                </w:p>
                <w:p w:rsidR="00EB5606" w:rsidRDefault="001F2E07" w:rsidP="001F2E07">
                  <w:pPr>
                    <w:pStyle w:val="TableParagraph"/>
                    <w:ind w:left="0"/>
                  </w:pPr>
                  <w:r>
                    <w:t xml:space="preserve">M </w:t>
                  </w:r>
                  <w:r>
                    <w:t>– 30%</w:t>
                  </w:r>
                </w:p>
              </w:tc>
            </w:tr>
            <w:tr w:rsidR="00EB5606" w:rsidTr="00EB5606">
              <w:tc>
                <w:tcPr>
                  <w:tcW w:w="2045" w:type="dxa"/>
                </w:tcPr>
                <w:p w:rsidR="00EB5606" w:rsidRDefault="003F0C7F" w:rsidP="003411A5">
                  <w:pPr>
                    <w:pStyle w:val="TableParagraph"/>
                    <w:ind w:left="0"/>
                  </w:pPr>
                  <w:r>
                    <w:t>Year 5</w:t>
                  </w:r>
                </w:p>
              </w:tc>
              <w:tc>
                <w:tcPr>
                  <w:tcW w:w="2046" w:type="dxa"/>
                </w:tcPr>
                <w:p w:rsidR="00EB5606" w:rsidRDefault="001F2E07" w:rsidP="003411A5">
                  <w:pPr>
                    <w:pStyle w:val="TableParagraph"/>
                    <w:ind w:left="0"/>
                  </w:pPr>
                  <w:r>
                    <w:t>R -11%</w:t>
                  </w:r>
                </w:p>
                <w:p w:rsidR="001F2E07" w:rsidRDefault="001F2E07" w:rsidP="003411A5">
                  <w:pPr>
                    <w:pStyle w:val="TableParagraph"/>
                    <w:ind w:left="0"/>
                  </w:pPr>
                  <w:r>
                    <w:t>W – 11%</w:t>
                  </w:r>
                </w:p>
                <w:p w:rsidR="001F2E07" w:rsidRDefault="001F2E07" w:rsidP="003411A5">
                  <w:pPr>
                    <w:pStyle w:val="TableParagraph"/>
                    <w:ind w:left="0"/>
                  </w:pPr>
                  <w:r>
                    <w:t>M -0%</w:t>
                  </w:r>
                </w:p>
              </w:tc>
              <w:tc>
                <w:tcPr>
                  <w:tcW w:w="2046" w:type="dxa"/>
                </w:tcPr>
                <w:p w:rsidR="001F2E07" w:rsidRDefault="001F2E07" w:rsidP="001F2E07">
                  <w:pPr>
                    <w:pStyle w:val="TableParagraph"/>
                    <w:ind w:left="0"/>
                  </w:pPr>
                  <w:r>
                    <w:t>R –</w:t>
                  </w:r>
                  <w:r>
                    <w:t xml:space="preserve"> 0%</w:t>
                  </w:r>
                </w:p>
                <w:p w:rsidR="001F2E07" w:rsidRDefault="001F2E07" w:rsidP="001F2E07">
                  <w:pPr>
                    <w:pStyle w:val="TableParagraph"/>
                    <w:ind w:left="0"/>
                  </w:pPr>
                  <w:r>
                    <w:t>W –</w:t>
                  </w:r>
                  <w:r>
                    <w:t xml:space="preserve"> 0%</w:t>
                  </w:r>
                </w:p>
                <w:p w:rsidR="00EB5606" w:rsidRDefault="001F2E07" w:rsidP="001F2E07">
                  <w:pPr>
                    <w:pStyle w:val="TableParagraph"/>
                    <w:ind w:left="0"/>
                  </w:pPr>
                  <w:r>
                    <w:t xml:space="preserve">M </w:t>
                  </w:r>
                  <w:r>
                    <w:t>– 0%</w:t>
                  </w:r>
                </w:p>
              </w:tc>
            </w:tr>
            <w:tr w:rsidR="00EB5606" w:rsidTr="00EB5606">
              <w:tc>
                <w:tcPr>
                  <w:tcW w:w="2045" w:type="dxa"/>
                </w:tcPr>
                <w:p w:rsidR="00EB5606" w:rsidRDefault="001F2E07" w:rsidP="003411A5">
                  <w:pPr>
                    <w:pStyle w:val="TableParagraph"/>
                    <w:ind w:left="0"/>
                  </w:pPr>
                  <w:r>
                    <w:t>Year 6</w:t>
                  </w:r>
                </w:p>
              </w:tc>
              <w:tc>
                <w:tcPr>
                  <w:tcW w:w="2046" w:type="dxa"/>
                </w:tcPr>
                <w:p w:rsidR="00EB5606" w:rsidRDefault="001F2E07" w:rsidP="003411A5">
                  <w:pPr>
                    <w:pStyle w:val="TableParagraph"/>
                    <w:ind w:left="0"/>
                  </w:pPr>
                  <w:r>
                    <w:t>R – 33%</w:t>
                  </w:r>
                </w:p>
                <w:p w:rsidR="001F2E07" w:rsidRDefault="001F2E07" w:rsidP="003411A5">
                  <w:pPr>
                    <w:pStyle w:val="TableParagraph"/>
                    <w:ind w:left="0"/>
                  </w:pPr>
                  <w:r>
                    <w:t>W – 33%</w:t>
                  </w:r>
                </w:p>
                <w:p w:rsidR="001F2E07" w:rsidRDefault="001F2E07" w:rsidP="003411A5">
                  <w:pPr>
                    <w:pStyle w:val="TableParagraph"/>
                    <w:ind w:left="0"/>
                  </w:pPr>
                  <w:r>
                    <w:t>M – 33%</w:t>
                  </w:r>
                </w:p>
              </w:tc>
              <w:tc>
                <w:tcPr>
                  <w:tcW w:w="2046" w:type="dxa"/>
                </w:tcPr>
                <w:p w:rsidR="001F2E07" w:rsidRDefault="001F2E07" w:rsidP="001F2E07">
                  <w:pPr>
                    <w:pStyle w:val="TableParagraph"/>
                    <w:ind w:left="0"/>
                  </w:pPr>
                  <w:r>
                    <w:t>R –</w:t>
                  </w:r>
                  <w:r>
                    <w:t xml:space="preserve"> 20%</w:t>
                  </w:r>
                </w:p>
                <w:p w:rsidR="001F2E07" w:rsidRDefault="001F2E07" w:rsidP="001F2E07">
                  <w:pPr>
                    <w:pStyle w:val="TableParagraph"/>
                    <w:ind w:left="0"/>
                  </w:pPr>
                  <w:r>
                    <w:t>W –</w:t>
                  </w:r>
                  <w:r>
                    <w:t xml:space="preserve"> 20%</w:t>
                  </w:r>
                </w:p>
                <w:p w:rsidR="00EB5606" w:rsidRDefault="001F2E07" w:rsidP="001F2E07">
                  <w:pPr>
                    <w:pStyle w:val="TableParagraph"/>
                    <w:ind w:left="0"/>
                  </w:pPr>
                  <w:r>
                    <w:t xml:space="preserve">M </w:t>
                  </w:r>
                  <w:r>
                    <w:t>– 20%</w:t>
                  </w:r>
                </w:p>
              </w:tc>
            </w:tr>
          </w:tbl>
          <w:p w:rsidR="0074352E" w:rsidRDefault="0074352E" w:rsidP="003411A5">
            <w:pPr>
              <w:pStyle w:val="TableParagraph"/>
            </w:pPr>
          </w:p>
        </w:tc>
      </w:tr>
      <w:tr w:rsidR="0074352E" w:rsidRPr="003B0C26" w:rsidTr="00E861F9">
        <w:trPr>
          <w:trHeight w:val="1240"/>
        </w:trPr>
        <w:tc>
          <w:tcPr>
            <w:tcW w:w="739" w:type="pct"/>
          </w:tcPr>
          <w:p w:rsidR="0074352E" w:rsidRPr="00543605" w:rsidRDefault="0074352E" w:rsidP="003411A5">
            <w:pPr>
              <w:pStyle w:val="TableParagraph"/>
              <w:ind w:left="105" w:right="479"/>
            </w:pPr>
            <w:r w:rsidRPr="00543605">
              <w:t xml:space="preserve">Increase the number of disadvantaged pupils achieving greater depth in writing over time. </w:t>
            </w:r>
          </w:p>
          <w:p w:rsidR="0074352E" w:rsidRDefault="0074352E" w:rsidP="003411A5">
            <w:pPr>
              <w:pStyle w:val="TableParagraph"/>
              <w:ind w:left="105" w:right="479"/>
            </w:pPr>
          </w:p>
        </w:tc>
        <w:tc>
          <w:tcPr>
            <w:tcW w:w="2054" w:type="pct"/>
          </w:tcPr>
          <w:p w:rsidR="0074352E" w:rsidRPr="0018169A" w:rsidRDefault="0074352E" w:rsidP="003411A5">
            <w:pPr>
              <w:pStyle w:val="TableParagraph"/>
              <w:ind w:right="759"/>
            </w:pPr>
            <w:r w:rsidRPr="0018169A">
              <w:t>Disadvantaged pupils make progress towards achieving greater depth in writing by the end of KS2.</w:t>
            </w:r>
          </w:p>
        </w:tc>
        <w:tc>
          <w:tcPr>
            <w:tcW w:w="2207" w:type="pct"/>
          </w:tcPr>
          <w:p w:rsidR="00EC7141" w:rsidRDefault="001F2E07" w:rsidP="00EC7141">
            <w:pPr>
              <w:pStyle w:val="TableParagraph"/>
            </w:pPr>
            <w:r w:rsidRPr="001F2E07">
              <w:t xml:space="preserve">The data above demonstrates that with the exception of the year 5 class where a number of pupil premium children are SEND pupils, the percentage of pupil premium pupils achieving greater depth increases as pupils move though key stage 2. </w:t>
            </w:r>
          </w:p>
          <w:p w:rsidR="001F2E07" w:rsidRPr="001F2E07" w:rsidRDefault="001F2E07" w:rsidP="00EC7141">
            <w:pPr>
              <w:pStyle w:val="TableParagraph"/>
            </w:pPr>
          </w:p>
        </w:tc>
      </w:tr>
      <w:tr w:rsidR="0074352E" w:rsidRPr="003B0C26" w:rsidTr="00E861F9">
        <w:trPr>
          <w:trHeight w:val="1240"/>
        </w:trPr>
        <w:tc>
          <w:tcPr>
            <w:tcW w:w="739" w:type="pct"/>
          </w:tcPr>
          <w:p w:rsidR="0074352E" w:rsidRDefault="0074352E" w:rsidP="003411A5">
            <w:pPr>
              <w:pStyle w:val="TableParagraph"/>
              <w:ind w:left="105" w:right="479"/>
            </w:pPr>
            <w:r w:rsidRPr="00543605">
              <w:t>Improve pupils’ educational and cultural experiences.</w:t>
            </w:r>
          </w:p>
        </w:tc>
        <w:tc>
          <w:tcPr>
            <w:tcW w:w="2054" w:type="pct"/>
          </w:tcPr>
          <w:p w:rsidR="0074352E" w:rsidRPr="00543605" w:rsidRDefault="0074352E" w:rsidP="0074352E">
            <w:pPr>
              <w:pStyle w:val="TableParagraph"/>
              <w:numPr>
                <w:ilvl w:val="0"/>
                <w:numId w:val="1"/>
              </w:numPr>
              <w:tabs>
                <w:tab w:val="left" w:pos="822"/>
                <w:tab w:val="left" w:pos="823"/>
              </w:tabs>
              <w:spacing w:before="0"/>
              <w:ind w:right="750"/>
            </w:pPr>
            <w:r w:rsidRPr="00543605">
              <w:t xml:space="preserve">Disadvantaged pupils to have at least 3 educational and cultural experiences over the academic year. </w:t>
            </w:r>
          </w:p>
          <w:p w:rsidR="0074352E" w:rsidRPr="00543605" w:rsidRDefault="0074352E" w:rsidP="0074352E">
            <w:pPr>
              <w:pStyle w:val="TableParagraph"/>
              <w:numPr>
                <w:ilvl w:val="0"/>
                <w:numId w:val="1"/>
              </w:numPr>
              <w:tabs>
                <w:tab w:val="left" w:pos="822"/>
                <w:tab w:val="left" w:pos="823"/>
              </w:tabs>
              <w:spacing w:before="0"/>
              <w:ind w:right="750"/>
            </w:pPr>
            <w:r w:rsidRPr="00543605">
              <w:t>Pupil voice demonstrates they have an increased understanding of the contexts in which they are learning.</w:t>
            </w:r>
          </w:p>
          <w:p w:rsidR="0074352E" w:rsidRPr="00BB0747" w:rsidRDefault="0074352E" w:rsidP="0074352E">
            <w:pPr>
              <w:pStyle w:val="TableParagraph"/>
              <w:numPr>
                <w:ilvl w:val="0"/>
                <w:numId w:val="1"/>
              </w:numPr>
              <w:tabs>
                <w:tab w:val="left" w:pos="822"/>
                <w:tab w:val="left" w:pos="823"/>
              </w:tabs>
              <w:spacing w:before="0"/>
              <w:ind w:right="750"/>
              <w:rPr>
                <w:b/>
              </w:rPr>
            </w:pPr>
            <w:r w:rsidRPr="00BB0747">
              <w:rPr>
                <w:b/>
              </w:rPr>
              <w:t>Disadvantaged pupils’ attainment across the curriculum is in line with other pupils.</w:t>
            </w:r>
          </w:p>
          <w:p w:rsidR="0074352E" w:rsidRPr="00543605" w:rsidRDefault="0074352E" w:rsidP="0074352E">
            <w:pPr>
              <w:pStyle w:val="TableParagraph"/>
              <w:numPr>
                <w:ilvl w:val="0"/>
                <w:numId w:val="1"/>
              </w:numPr>
              <w:tabs>
                <w:tab w:val="left" w:pos="822"/>
                <w:tab w:val="left" w:pos="823"/>
              </w:tabs>
              <w:spacing w:before="0"/>
              <w:ind w:right="750"/>
            </w:pPr>
            <w:r w:rsidRPr="00543605">
              <w:t>Pupils’ experiences enable them to have an increased understanding of the context in which they are learning about resulting in improved outcomes, particularly writing.</w:t>
            </w:r>
          </w:p>
          <w:p w:rsidR="0074352E" w:rsidRPr="0052477B" w:rsidRDefault="0074352E" w:rsidP="003411A5">
            <w:pPr>
              <w:pStyle w:val="TableParagraph"/>
              <w:spacing w:before="0"/>
              <w:ind w:right="750"/>
              <w:rPr>
                <w:b/>
              </w:rPr>
            </w:pPr>
            <w:r w:rsidRPr="0052477B">
              <w:rPr>
                <w:b/>
              </w:rPr>
              <w:t xml:space="preserve">Writing outcomes for disadvantaged pupils to be in line with national averages.  </w:t>
            </w:r>
          </w:p>
        </w:tc>
        <w:tc>
          <w:tcPr>
            <w:tcW w:w="2207" w:type="pct"/>
          </w:tcPr>
          <w:p w:rsidR="0074352E" w:rsidRDefault="0074352E" w:rsidP="003411A5">
            <w:pPr>
              <w:pStyle w:val="TableParagraph"/>
            </w:pPr>
            <w:r>
              <w:t>Visits and visitors were used by all classes to supplement the curriculum and widen c</w:t>
            </w:r>
            <w:r w:rsidR="001F2E07">
              <w:t>hildren’s cultural experiences.</w:t>
            </w:r>
          </w:p>
          <w:p w:rsidR="001F2E07" w:rsidRDefault="001F2E07" w:rsidP="003411A5">
            <w:pPr>
              <w:pStyle w:val="TableParagraph"/>
            </w:pPr>
          </w:p>
          <w:p w:rsidR="001F2E07" w:rsidRDefault="001F2E07" w:rsidP="003411A5">
            <w:pPr>
              <w:pStyle w:val="TableParagraph"/>
            </w:pPr>
            <w:r>
              <w:t xml:space="preserve">Pupil voice has demonstrated over a number of subject areas that pupils have an increasing understanding of their learning and can </w:t>
            </w:r>
            <w:proofErr w:type="spellStart"/>
            <w:r>
              <w:t>vocalise</w:t>
            </w:r>
            <w:proofErr w:type="spellEnd"/>
            <w:r>
              <w:t xml:space="preserve"> their learning journey using subject specific vocabulary in the correct context. </w:t>
            </w:r>
          </w:p>
          <w:p w:rsidR="0074352E" w:rsidRDefault="0074352E" w:rsidP="003411A5">
            <w:pPr>
              <w:pStyle w:val="TableParagraph"/>
            </w:pPr>
          </w:p>
          <w:p w:rsidR="00EC7141" w:rsidRPr="00BB0747" w:rsidRDefault="00EC7141" w:rsidP="003411A5">
            <w:pPr>
              <w:pStyle w:val="TableParagraph"/>
              <w:rPr>
                <w:b/>
              </w:rPr>
            </w:pPr>
            <w:r w:rsidRPr="00BB0747">
              <w:rPr>
                <w:b/>
              </w:rPr>
              <w:t>See data below.</w:t>
            </w:r>
          </w:p>
          <w:p w:rsidR="0074352E" w:rsidRDefault="0074352E" w:rsidP="003411A5">
            <w:pPr>
              <w:pStyle w:val="TableParagraph"/>
            </w:pPr>
          </w:p>
          <w:p w:rsidR="00EC7141" w:rsidRDefault="0074352E" w:rsidP="003411A5">
            <w:pPr>
              <w:pStyle w:val="TableParagraph"/>
              <w:ind w:left="0"/>
            </w:pPr>
            <w:r>
              <w:t xml:space="preserve"> Moving forwards – to incorporate our new key driver, possibilities, all trips will include meeting a variety of people and gaining an understanding of their job role within a real life context. E.g. museum curator, zoo keeper, vet. Children will have access to a short Q and A session to widen their knowledge of the world of work. </w:t>
            </w:r>
          </w:p>
          <w:p w:rsidR="001F2E07" w:rsidRDefault="001F2E07" w:rsidP="003411A5">
            <w:pPr>
              <w:pStyle w:val="TableParagraph"/>
              <w:ind w:left="0"/>
            </w:pPr>
          </w:p>
          <w:p w:rsidR="001F2E07" w:rsidRPr="000C1184" w:rsidRDefault="001F2E07" w:rsidP="003411A5">
            <w:pPr>
              <w:pStyle w:val="TableParagraph"/>
              <w:ind w:left="0"/>
              <w:rPr>
                <w:b/>
              </w:rPr>
            </w:pPr>
            <w:r>
              <w:t xml:space="preserve"> </w:t>
            </w:r>
            <w:r w:rsidRPr="000C1184">
              <w:rPr>
                <w:b/>
              </w:rPr>
              <w:t xml:space="preserve">National figures for key stage 1 </w:t>
            </w:r>
            <w:r w:rsidR="000C1184" w:rsidRPr="000C1184">
              <w:rPr>
                <w:b/>
              </w:rPr>
              <w:t>–</w:t>
            </w:r>
            <w:r w:rsidRPr="000C1184">
              <w:rPr>
                <w:b/>
              </w:rPr>
              <w:t xml:space="preserve"> </w:t>
            </w:r>
            <w:r w:rsidR="000C1184" w:rsidRPr="000C1184">
              <w:rPr>
                <w:b/>
              </w:rPr>
              <w:t xml:space="preserve">69% pupils achieve age related expectations in writing. </w:t>
            </w:r>
          </w:p>
          <w:p w:rsidR="000C1184" w:rsidRDefault="000C1184" w:rsidP="003411A5">
            <w:pPr>
              <w:pStyle w:val="TableParagraph"/>
              <w:ind w:left="0"/>
            </w:pPr>
            <w:r>
              <w:t xml:space="preserve">In year 1, 79% of pupils achieved age related expectations. </w:t>
            </w:r>
          </w:p>
          <w:p w:rsidR="000C1184" w:rsidRDefault="000C1184" w:rsidP="003411A5">
            <w:pPr>
              <w:pStyle w:val="TableParagraph"/>
              <w:ind w:left="0"/>
            </w:pPr>
            <w:r>
              <w:t>In year 2, 59% of pupils achieved age related expectations. (Teacher was subject to intensive support)</w:t>
            </w:r>
          </w:p>
          <w:p w:rsidR="000C1184" w:rsidRDefault="000C1184" w:rsidP="000C1184">
            <w:pPr>
              <w:pStyle w:val="TableParagraph"/>
              <w:ind w:left="0"/>
            </w:pPr>
          </w:p>
          <w:p w:rsidR="000C1184" w:rsidRPr="000C1184" w:rsidRDefault="000C1184" w:rsidP="000C1184">
            <w:pPr>
              <w:pStyle w:val="TableParagraph"/>
              <w:ind w:left="0"/>
              <w:rPr>
                <w:b/>
              </w:rPr>
            </w:pPr>
            <w:r>
              <w:t xml:space="preserve"> </w:t>
            </w:r>
            <w:r>
              <w:rPr>
                <w:b/>
              </w:rPr>
              <w:t>National figures for key stage 2</w:t>
            </w:r>
            <w:r w:rsidRPr="000C1184">
              <w:rPr>
                <w:b/>
              </w:rPr>
              <w:t xml:space="preserve"> – </w:t>
            </w:r>
            <w:r>
              <w:rPr>
                <w:b/>
              </w:rPr>
              <w:t>78</w:t>
            </w:r>
            <w:r w:rsidRPr="000C1184">
              <w:rPr>
                <w:b/>
              </w:rPr>
              <w:t xml:space="preserve">% pupils achieve age related expectations in writing. </w:t>
            </w:r>
          </w:p>
          <w:p w:rsidR="000C1184" w:rsidRDefault="000C1184" w:rsidP="000C1184">
            <w:pPr>
              <w:pStyle w:val="TableParagraph"/>
              <w:ind w:left="0"/>
            </w:pPr>
            <w:r>
              <w:t>In</w:t>
            </w:r>
            <w:r>
              <w:t xml:space="preserve"> year 3, 73</w:t>
            </w:r>
            <w:r>
              <w:t xml:space="preserve">% of pupils achieved age related expectations. </w:t>
            </w:r>
          </w:p>
          <w:p w:rsidR="000C1184" w:rsidRDefault="000C1184" w:rsidP="000C1184">
            <w:pPr>
              <w:pStyle w:val="TableParagraph"/>
              <w:ind w:left="0"/>
            </w:pPr>
            <w:r>
              <w:t>In</w:t>
            </w:r>
            <w:r>
              <w:t xml:space="preserve"> year 4, </w:t>
            </w:r>
            <w:r w:rsidR="00D740D5">
              <w:t>78</w:t>
            </w:r>
            <w:r>
              <w:t xml:space="preserve">% of pupils achieved age related expectations. </w:t>
            </w:r>
          </w:p>
          <w:p w:rsidR="000C1184" w:rsidRDefault="000C1184" w:rsidP="000C1184">
            <w:pPr>
              <w:pStyle w:val="TableParagraph"/>
              <w:ind w:left="0"/>
            </w:pPr>
            <w:r>
              <w:t>In</w:t>
            </w:r>
            <w:r>
              <w:t xml:space="preserve"> year 5, </w:t>
            </w:r>
            <w:r w:rsidR="00D740D5">
              <w:t>76</w:t>
            </w:r>
            <w:r>
              <w:t xml:space="preserve">% of pupils achieved age related expectations. </w:t>
            </w:r>
          </w:p>
          <w:p w:rsidR="00D740D5" w:rsidRDefault="00D740D5" w:rsidP="00D740D5">
            <w:pPr>
              <w:pStyle w:val="TableParagraph"/>
              <w:ind w:left="0"/>
            </w:pPr>
            <w:r>
              <w:t>In</w:t>
            </w:r>
            <w:r>
              <w:t xml:space="preserve"> year 6, 86</w:t>
            </w:r>
            <w:r>
              <w:t xml:space="preserve">% of pupils achieved age related expectations. </w:t>
            </w:r>
          </w:p>
          <w:p w:rsidR="0074352E" w:rsidRDefault="0074352E" w:rsidP="00D740D5">
            <w:pPr>
              <w:pStyle w:val="TableParagraph"/>
              <w:ind w:left="0"/>
            </w:pPr>
          </w:p>
        </w:tc>
      </w:tr>
      <w:tr w:rsidR="0074352E" w:rsidRPr="003B0C26" w:rsidTr="00E861F9">
        <w:trPr>
          <w:trHeight w:val="1240"/>
        </w:trPr>
        <w:tc>
          <w:tcPr>
            <w:tcW w:w="739" w:type="pct"/>
          </w:tcPr>
          <w:p w:rsidR="0074352E" w:rsidRDefault="0074352E" w:rsidP="003411A5">
            <w:pPr>
              <w:pStyle w:val="TableParagraph"/>
              <w:ind w:left="105" w:right="198"/>
            </w:pPr>
            <w:r w:rsidRPr="00543605">
              <w:t xml:space="preserve">Improve punctuality rates of disadvantaged pupils. </w:t>
            </w:r>
          </w:p>
        </w:tc>
        <w:tc>
          <w:tcPr>
            <w:tcW w:w="2054" w:type="pct"/>
          </w:tcPr>
          <w:p w:rsidR="0074352E" w:rsidRPr="00543605" w:rsidRDefault="0074352E" w:rsidP="0074352E">
            <w:pPr>
              <w:pStyle w:val="TableParagraph"/>
              <w:numPr>
                <w:ilvl w:val="0"/>
                <w:numId w:val="3"/>
              </w:numPr>
              <w:tabs>
                <w:tab w:val="left" w:pos="822"/>
                <w:tab w:val="left" w:pos="823"/>
              </w:tabs>
              <w:ind w:right="155"/>
            </w:pPr>
            <w:r w:rsidRPr="00543605">
              <w:t xml:space="preserve">Overall punctuality among pupils eligible for PPG improves in order to diminish the gap between PPG and non PPG pupils. </w:t>
            </w:r>
          </w:p>
          <w:p w:rsidR="0074352E" w:rsidRPr="00543605" w:rsidRDefault="0074352E" w:rsidP="003411A5">
            <w:pPr>
              <w:pStyle w:val="TableParagraph"/>
              <w:tabs>
                <w:tab w:val="left" w:pos="822"/>
                <w:tab w:val="left" w:pos="823"/>
              </w:tabs>
              <w:spacing w:before="0"/>
              <w:ind w:left="823" w:right="471"/>
              <w:rPr>
                <w:b/>
                <w:u w:val="single"/>
              </w:rPr>
            </w:pPr>
          </w:p>
          <w:p w:rsidR="0074352E" w:rsidRDefault="0074352E" w:rsidP="003411A5">
            <w:pPr>
              <w:pStyle w:val="TableParagraph"/>
              <w:ind w:left="823" w:right="155"/>
            </w:pPr>
          </w:p>
        </w:tc>
        <w:tc>
          <w:tcPr>
            <w:tcW w:w="2207" w:type="pct"/>
          </w:tcPr>
          <w:p w:rsidR="0074352E" w:rsidRDefault="00F9495D" w:rsidP="00F9495D">
            <w:pPr>
              <w:pStyle w:val="TableParagraph"/>
              <w:ind w:left="0"/>
            </w:pPr>
            <w:r>
              <w:t xml:space="preserve"> Breakfast club has been used to support a range o</w:t>
            </w:r>
            <w:r w:rsidR="00D740D5">
              <w:t xml:space="preserve">f families who are eligible for pupil premium. As a result we have seen a decline in the number of </w:t>
            </w:r>
            <w:proofErr w:type="spellStart"/>
            <w:r w:rsidR="00D740D5">
              <w:t>lates</w:t>
            </w:r>
            <w:proofErr w:type="spellEnd"/>
            <w:r w:rsidR="00D740D5">
              <w:t xml:space="preserve"> recorded. </w:t>
            </w:r>
          </w:p>
        </w:tc>
      </w:tr>
      <w:tr w:rsidR="0074352E" w:rsidRPr="003B0C26" w:rsidTr="00E861F9">
        <w:trPr>
          <w:trHeight w:val="1240"/>
        </w:trPr>
        <w:tc>
          <w:tcPr>
            <w:tcW w:w="739" w:type="pct"/>
          </w:tcPr>
          <w:p w:rsidR="0074352E" w:rsidRPr="00543605" w:rsidRDefault="0074352E" w:rsidP="003411A5">
            <w:pPr>
              <w:pStyle w:val="TableParagraph"/>
              <w:ind w:left="105" w:right="198"/>
            </w:pPr>
            <w:r w:rsidRPr="00543605">
              <w:lastRenderedPageBreak/>
              <w:t xml:space="preserve">Increase the attendance of disadvantaged pupils to be in line with, or above, national average in 2018-2019. </w:t>
            </w:r>
          </w:p>
          <w:p w:rsidR="0074352E" w:rsidRDefault="0074352E" w:rsidP="003411A5">
            <w:pPr>
              <w:pStyle w:val="TableParagraph"/>
              <w:ind w:left="0" w:right="251"/>
            </w:pPr>
          </w:p>
        </w:tc>
        <w:tc>
          <w:tcPr>
            <w:tcW w:w="2054" w:type="pct"/>
          </w:tcPr>
          <w:p w:rsidR="0074352E" w:rsidRPr="00543605" w:rsidRDefault="0074352E" w:rsidP="0074352E">
            <w:pPr>
              <w:pStyle w:val="TableParagraph"/>
              <w:numPr>
                <w:ilvl w:val="0"/>
                <w:numId w:val="2"/>
              </w:numPr>
              <w:tabs>
                <w:tab w:val="left" w:pos="822"/>
                <w:tab w:val="left" w:pos="823"/>
              </w:tabs>
              <w:spacing w:before="0"/>
              <w:ind w:right="471"/>
            </w:pPr>
            <w:r w:rsidRPr="00543605">
              <w:t xml:space="preserve">Reduce the number of persistent absentees among pupils eligible for PPG. </w:t>
            </w:r>
          </w:p>
          <w:p w:rsidR="0074352E" w:rsidRPr="00543605" w:rsidRDefault="0074352E" w:rsidP="003411A5">
            <w:pPr>
              <w:pStyle w:val="TableParagraph"/>
              <w:tabs>
                <w:tab w:val="left" w:pos="822"/>
                <w:tab w:val="left" w:pos="823"/>
              </w:tabs>
              <w:spacing w:before="0"/>
              <w:ind w:left="823" w:right="471"/>
              <w:rPr>
                <w:b/>
                <w:u w:val="single"/>
              </w:rPr>
            </w:pPr>
            <w:r w:rsidRPr="00543605">
              <w:rPr>
                <w:b/>
                <w:u w:val="single"/>
              </w:rPr>
              <w:t>2017-2018 Figures</w:t>
            </w:r>
          </w:p>
          <w:p w:rsidR="0074352E" w:rsidRPr="00543605" w:rsidRDefault="0074352E" w:rsidP="003411A5">
            <w:pPr>
              <w:pStyle w:val="TableParagraph"/>
              <w:tabs>
                <w:tab w:val="left" w:pos="822"/>
                <w:tab w:val="left" w:pos="823"/>
              </w:tabs>
              <w:ind w:left="823" w:right="155"/>
            </w:pPr>
            <w:r w:rsidRPr="00543605">
              <w:t>Non PPG Attendance – 95.59%</w:t>
            </w:r>
          </w:p>
          <w:p w:rsidR="0074352E" w:rsidRPr="00543605" w:rsidRDefault="0074352E" w:rsidP="003411A5">
            <w:pPr>
              <w:pStyle w:val="TableParagraph"/>
              <w:tabs>
                <w:tab w:val="left" w:pos="822"/>
                <w:tab w:val="left" w:pos="823"/>
              </w:tabs>
              <w:ind w:left="823" w:right="155"/>
            </w:pPr>
            <w:r w:rsidRPr="00543605">
              <w:t>PPG Attendance 95.14%</w:t>
            </w:r>
          </w:p>
          <w:p w:rsidR="0074352E" w:rsidRPr="00543605" w:rsidRDefault="0074352E" w:rsidP="003411A5">
            <w:pPr>
              <w:pStyle w:val="TableParagraph"/>
              <w:tabs>
                <w:tab w:val="left" w:pos="822"/>
                <w:tab w:val="left" w:pos="823"/>
              </w:tabs>
              <w:spacing w:before="0"/>
              <w:ind w:left="823" w:right="471"/>
            </w:pPr>
            <w:r w:rsidRPr="00543605">
              <w:t>Non PPG PA – 7.5%</w:t>
            </w:r>
          </w:p>
          <w:p w:rsidR="0074352E" w:rsidRDefault="0074352E" w:rsidP="003411A5">
            <w:pPr>
              <w:pStyle w:val="TableParagraph"/>
              <w:spacing w:before="0"/>
              <w:ind w:left="823" w:right="471"/>
            </w:pPr>
            <w:r w:rsidRPr="00543605">
              <w:t>PPG PA – 10.34%</w:t>
            </w:r>
          </w:p>
        </w:tc>
        <w:tc>
          <w:tcPr>
            <w:tcW w:w="2207" w:type="pct"/>
          </w:tcPr>
          <w:p w:rsidR="0074352E" w:rsidRPr="0052477B" w:rsidRDefault="0074352E" w:rsidP="003411A5">
            <w:pPr>
              <w:pStyle w:val="TableParagraph"/>
              <w:spacing w:line="259" w:lineRule="auto"/>
              <w:rPr>
                <w:b/>
              </w:rPr>
            </w:pPr>
            <w:r w:rsidRPr="0052477B">
              <w:rPr>
                <w:b/>
              </w:rPr>
              <w:t>2018-2019 figures</w:t>
            </w:r>
          </w:p>
          <w:p w:rsidR="0074352E" w:rsidRPr="00FC6CB8" w:rsidRDefault="0074352E" w:rsidP="003411A5">
            <w:pPr>
              <w:pStyle w:val="TableParagraph"/>
              <w:spacing w:line="259" w:lineRule="auto"/>
            </w:pPr>
            <w:r w:rsidRPr="00FC6CB8">
              <w:t xml:space="preserve">Non PPG attendance </w:t>
            </w:r>
            <w:r w:rsidR="00FC6CB8" w:rsidRPr="00FC6CB8">
              <w:t>–</w:t>
            </w:r>
            <w:r w:rsidRPr="00FC6CB8">
              <w:t xml:space="preserve"> </w:t>
            </w:r>
            <w:r w:rsidR="00FC6CB8" w:rsidRPr="00FC6CB8">
              <w:t>95.13%</w:t>
            </w:r>
          </w:p>
          <w:p w:rsidR="0074352E" w:rsidRPr="00FC6CB8" w:rsidRDefault="0074352E" w:rsidP="003411A5">
            <w:pPr>
              <w:pStyle w:val="TableParagraph"/>
              <w:spacing w:line="259" w:lineRule="auto"/>
            </w:pPr>
            <w:r w:rsidRPr="00FC6CB8">
              <w:t xml:space="preserve">PPG attendance </w:t>
            </w:r>
            <w:r w:rsidR="00FC6CB8" w:rsidRPr="00FC6CB8">
              <w:t>–</w:t>
            </w:r>
            <w:r w:rsidRPr="00FC6CB8">
              <w:t xml:space="preserve"> </w:t>
            </w:r>
            <w:r w:rsidR="00FC6CB8" w:rsidRPr="00FC6CB8">
              <w:t>93.51%</w:t>
            </w:r>
          </w:p>
          <w:p w:rsidR="0074352E" w:rsidRPr="00FC6CB8" w:rsidRDefault="0074352E" w:rsidP="003411A5">
            <w:pPr>
              <w:pStyle w:val="TableParagraph"/>
              <w:spacing w:line="259" w:lineRule="auto"/>
            </w:pPr>
            <w:r w:rsidRPr="00FC6CB8">
              <w:t xml:space="preserve">NON PPG PA </w:t>
            </w:r>
            <w:r w:rsidR="00FC6CB8" w:rsidRPr="00FC6CB8">
              <w:t>–</w:t>
            </w:r>
            <w:r w:rsidRPr="00FC6CB8">
              <w:t xml:space="preserve"> </w:t>
            </w:r>
            <w:r w:rsidR="00FC6CB8" w:rsidRPr="00FC6CB8">
              <w:t>19.65%</w:t>
            </w:r>
          </w:p>
          <w:p w:rsidR="0074352E" w:rsidRDefault="0074352E" w:rsidP="00FC6CB8">
            <w:pPr>
              <w:pStyle w:val="TableParagraph"/>
              <w:spacing w:line="259" w:lineRule="auto"/>
            </w:pPr>
            <w:r w:rsidRPr="00FC6CB8">
              <w:t xml:space="preserve">PPG PA </w:t>
            </w:r>
            <w:r w:rsidR="00FC6CB8" w:rsidRPr="00FC6CB8">
              <w:t>–</w:t>
            </w:r>
            <w:r w:rsidRPr="00FC6CB8">
              <w:t xml:space="preserve"> </w:t>
            </w:r>
            <w:r w:rsidR="00FC6CB8" w:rsidRPr="00FC6CB8">
              <w:t>25.48%</w:t>
            </w:r>
          </w:p>
          <w:p w:rsidR="00FC6CB8" w:rsidRDefault="00FC6CB8" w:rsidP="00FC6CB8">
            <w:pPr>
              <w:pStyle w:val="TableParagraph"/>
              <w:spacing w:line="259" w:lineRule="auto"/>
            </w:pPr>
          </w:p>
          <w:p w:rsidR="00FC6CB8" w:rsidRPr="00FC6CB8" w:rsidRDefault="00FC6CB8" w:rsidP="00FC6CB8">
            <w:pPr>
              <w:pStyle w:val="TableParagraph"/>
              <w:spacing w:line="259" w:lineRule="auto"/>
            </w:pPr>
            <w:r>
              <w:t>Attendance data for PPG and Non PPG has reduced over the last year and the percentage of p</w:t>
            </w:r>
            <w:r w:rsidR="00D740D5">
              <w:t>ersistent absentees has risen. As a result, t</w:t>
            </w:r>
            <w:r>
              <w:t xml:space="preserve">he role of the pastoral support has been reviewed and will change in 2019 2020 to maximize the time spent by pastoral support in challenging attendance and putting support in for parents who need it. Meetings will be held with the senior leadership team every two weeks to ensure the correct actions are put in place and deadlines are met. </w:t>
            </w:r>
          </w:p>
        </w:tc>
      </w:tr>
      <w:tr w:rsidR="0074352E" w:rsidRPr="003B0C26" w:rsidTr="00E861F9">
        <w:trPr>
          <w:trHeight w:val="1240"/>
        </w:trPr>
        <w:tc>
          <w:tcPr>
            <w:tcW w:w="739" w:type="pct"/>
          </w:tcPr>
          <w:p w:rsidR="0074352E" w:rsidRDefault="0074352E" w:rsidP="003411A5">
            <w:pPr>
              <w:pStyle w:val="TableParagraph"/>
              <w:ind w:left="105" w:right="132"/>
            </w:pPr>
            <w:proofErr w:type="spellStart"/>
            <w:r w:rsidRPr="00543605">
              <w:t>Behaviour</w:t>
            </w:r>
            <w:proofErr w:type="spellEnd"/>
            <w:r w:rsidRPr="00543605">
              <w:t xml:space="preserve"> and attitudes of disadvantaged pupils are conducive to learning.</w:t>
            </w:r>
          </w:p>
        </w:tc>
        <w:tc>
          <w:tcPr>
            <w:tcW w:w="2054" w:type="pct"/>
          </w:tcPr>
          <w:p w:rsidR="0074352E" w:rsidRPr="00543605" w:rsidRDefault="0074352E" w:rsidP="0074352E">
            <w:pPr>
              <w:pStyle w:val="TableParagraph"/>
              <w:numPr>
                <w:ilvl w:val="0"/>
                <w:numId w:val="1"/>
              </w:numPr>
              <w:tabs>
                <w:tab w:val="left" w:pos="822"/>
                <w:tab w:val="left" w:pos="823"/>
              </w:tabs>
              <w:spacing w:before="0"/>
              <w:ind w:right="750"/>
            </w:pPr>
            <w:r w:rsidRPr="00543605">
              <w:t xml:space="preserve">Disadvantaged pupils with social and emotional needs have bespoke support that compliments the behavior policy in place (positive handling plans, visual timetables, sensory areas </w:t>
            </w:r>
            <w:proofErr w:type="spellStart"/>
            <w:r w:rsidRPr="00543605">
              <w:t>etc</w:t>
            </w:r>
            <w:proofErr w:type="spellEnd"/>
            <w:r w:rsidRPr="00543605">
              <w:t xml:space="preserve">). </w:t>
            </w:r>
          </w:p>
          <w:p w:rsidR="0074352E" w:rsidRPr="00543605" w:rsidRDefault="0074352E" w:rsidP="0074352E">
            <w:pPr>
              <w:pStyle w:val="TableParagraph"/>
              <w:numPr>
                <w:ilvl w:val="0"/>
                <w:numId w:val="1"/>
              </w:numPr>
              <w:tabs>
                <w:tab w:val="left" w:pos="822"/>
                <w:tab w:val="left" w:pos="823"/>
              </w:tabs>
              <w:spacing w:before="0"/>
              <w:ind w:right="750"/>
            </w:pPr>
            <w:r w:rsidRPr="00543605">
              <w:t xml:space="preserve">Learning walks show a consistent approach to behavior management across school. </w:t>
            </w:r>
          </w:p>
          <w:p w:rsidR="0074352E" w:rsidRPr="00543605" w:rsidRDefault="0074352E" w:rsidP="0074352E">
            <w:pPr>
              <w:pStyle w:val="TableParagraph"/>
              <w:numPr>
                <w:ilvl w:val="0"/>
                <w:numId w:val="1"/>
              </w:numPr>
              <w:tabs>
                <w:tab w:val="left" w:pos="822"/>
                <w:tab w:val="left" w:pos="823"/>
              </w:tabs>
              <w:spacing w:before="0"/>
              <w:ind w:right="750"/>
            </w:pPr>
            <w:r w:rsidRPr="00543605">
              <w:t xml:space="preserve">A 5% reduction in incidents logged (step 4 or above) specific to pupils eligible for PPG each term. </w:t>
            </w:r>
          </w:p>
          <w:p w:rsidR="0074352E" w:rsidRDefault="0074352E" w:rsidP="003411A5">
            <w:pPr>
              <w:pStyle w:val="TableParagraph"/>
              <w:spacing w:before="0"/>
              <w:ind w:right="750"/>
            </w:pPr>
            <w:r w:rsidRPr="00543605">
              <w:t xml:space="preserve">Pupils causing concern are identified at the earliest point to receive targeted support. </w:t>
            </w:r>
          </w:p>
        </w:tc>
        <w:tc>
          <w:tcPr>
            <w:tcW w:w="2207" w:type="pct"/>
          </w:tcPr>
          <w:p w:rsidR="0074352E" w:rsidRDefault="0074352E" w:rsidP="003411A5">
            <w:pPr>
              <w:pStyle w:val="TableParagraph"/>
            </w:pPr>
            <w:r>
              <w:t xml:space="preserve">Disadvantaged pupils with social and emotional needs have access to nurture provision providing bespoke support informed by Boxall Profiling. </w:t>
            </w:r>
          </w:p>
          <w:p w:rsidR="00D740D5" w:rsidRDefault="00D740D5" w:rsidP="003411A5">
            <w:pPr>
              <w:pStyle w:val="TableParagraph"/>
            </w:pPr>
            <w:r>
              <w:t xml:space="preserve">Learning walks demonstrated that the vast majority of pupils are well behaved and demonstrate good behavior for learning. </w:t>
            </w:r>
          </w:p>
          <w:p w:rsidR="00D740D5" w:rsidRDefault="00D740D5" w:rsidP="00D740D5">
            <w:pPr>
              <w:pStyle w:val="TableParagraph"/>
            </w:pPr>
            <w:r>
              <w:t xml:space="preserve">High level need SEND children have demonstrated escalated behavior. </w:t>
            </w:r>
            <w:r>
              <w:t xml:space="preserve">Due to the escalation of </w:t>
            </w:r>
            <w:r>
              <w:t>a high level need pupil</w:t>
            </w:r>
            <w:r>
              <w:t xml:space="preserve"> a large proportion of Pupil Premium funding was used to provide 1:1 support for a child who has since received EHC funding. This allowed personalized provision to be set up to allow break out space as well as minimizing disruption in class. </w:t>
            </w:r>
          </w:p>
          <w:p w:rsidR="00D740D5" w:rsidRDefault="00D740D5" w:rsidP="003411A5">
            <w:pPr>
              <w:pStyle w:val="TableParagraph"/>
            </w:pPr>
            <w:r>
              <w:t xml:space="preserve"> </w:t>
            </w:r>
          </w:p>
          <w:p w:rsidR="00276D91" w:rsidRDefault="0074352E" w:rsidP="003411A5">
            <w:pPr>
              <w:pStyle w:val="TableParagraph"/>
            </w:pPr>
            <w:r>
              <w:t xml:space="preserve">Due to the success of nurture </w:t>
            </w:r>
            <w:r w:rsidR="00D740D5">
              <w:t>provision in assisting</w:t>
            </w:r>
            <w:r>
              <w:t xml:space="preserve"> pupi</w:t>
            </w:r>
            <w:r w:rsidR="00D740D5">
              <w:t xml:space="preserve">ls in accessing classroom life </w:t>
            </w:r>
            <w:r>
              <w:t xml:space="preserve">engaged and ready to learn, this provision will be extended next year to 5 afternoons and </w:t>
            </w:r>
            <w:proofErr w:type="spellStart"/>
            <w:r>
              <w:t>boxall</w:t>
            </w:r>
            <w:proofErr w:type="spellEnd"/>
            <w:r>
              <w:t xml:space="preserve"> profiling will be used to inform class teachers of needs within their classroom and interventions that may be carried out at class teacher level. </w:t>
            </w:r>
          </w:p>
          <w:p w:rsidR="00D740D5" w:rsidRDefault="00D740D5" w:rsidP="00D740D5">
            <w:pPr>
              <w:pStyle w:val="TableParagraph"/>
              <w:ind w:left="0"/>
            </w:pPr>
          </w:p>
          <w:p w:rsidR="00276D91" w:rsidRDefault="00276D91" w:rsidP="003411A5">
            <w:pPr>
              <w:pStyle w:val="TableParagraph"/>
            </w:pPr>
            <w:proofErr w:type="spellStart"/>
            <w:r>
              <w:t>Behaviour</w:t>
            </w:r>
            <w:proofErr w:type="spellEnd"/>
            <w:r>
              <w:t xml:space="preserve"> will be a key focus next year as amendments are made to the behavior policy to introduce visible consistencies that will place an emphasis on positive behavior and a focus on the social and emotional needs of pupils. </w:t>
            </w:r>
          </w:p>
          <w:p w:rsidR="00D740D5" w:rsidRDefault="00D740D5" w:rsidP="003411A5">
            <w:pPr>
              <w:pStyle w:val="TableParagraph"/>
            </w:pPr>
          </w:p>
          <w:p w:rsidR="00D740D5" w:rsidRDefault="00F32520" w:rsidP="003411A5">
            <w:pPr>
              <w:pStyle w:val="TableParagraph"/>
            </w:pPr>
            <w:r>
              <w:t xml:space="preserve">There has been an increase of CPOMS logs for pupil premium pupils but a large proportion of these are due to pupils with high level SEND needs who have demonstrated escalated behavior this year. </w:t>
            </w:r>
          </w:p>
          <w:p w:rsidR="00E861F9" w:rsidRDefault="00E861F9" w:rsidP="003411A5">
            <w:pPr>
              <w:pStyle w:val="TableParagraph"/>
            </w:pPr>
          </w:p>
        </w:tc>
      </w:tr>
      <w:tr w:rsidR="0074352E" w:rsidTr="00E861F9">
        <w:trPr>
          <w:trHeight w:val="1240"/>
        </w:trPr>
        <w:tc>
          <w:tcPr>
            <w:tcW w:w="739" w:type="pct"/>
          </w:tcPr>
          <w:p w:rsidR="0074352E" w:rsidRPr="00543605" w:rsidRDefault="0074352E" w:rsidP="003411A5">
            <w:pPr>
              <w:pStyle w:val="TableParagraph"/>
              <w:ind w:left="105" w:right="132"/>
            </w:pPr>
            <w:r w:rsidRPr="00543605">
              <w:lastRenderedPageBreak/>
              <w:t>Improve the provision for disadvantaged pupils specific to speech, language and communication needs.</w:t>
            </w:r>
          </w:p>
          <w:p w:rsidR="0074352E" w:rsidRDefault="0074352E" w:rsidP="003411A5">
            <w:pPr>
              <w:pStyle w:val="TableParagraph"/>
              <w:ind w:left="105" w:right="132"/>
            </w:pPr>
          </w:p>
        </w:tc>
        <w:tc>
          <w:tcPr>
            <w:tcW w:w="2054" w:type="pct"/>
          </w:tcPr>
          <w:p w:rsidR="0074352E" w:rsidRPr="00543605" w:rsidRDefault="0074352E" w:rsidP="0074352E">
            <w:pPr>
              <w:pStyle w:val="TableParagraph"/>
              <w:numPr>
                <w:ilvl w:val="0"/>
                <w:numId w:val="1"/>
              </w:numPr>
              <w:tabs>
                <w:tab w:val="left" w:pos="822"/>
                <w:tab w:val="left" w:pos="823"/>
              </w:tabs>
              <w:spacing w:before="0"/>
              <w:ind w:right="750"/>
            </w:pPr>
            <w:r w:rsidRPr="00543605">
              <w:t xml:space="preserve">High quality interventions will address the identified needs of individual pupils. </w:t>
            </w:r>
          </w:p>
          <w:p w:rsidR="0074352E" w:rsidRPr="00543605" w:rsidRDefault="0074352E" w:rsidP="0074352E">
            <w:pPr>
              <w:pStyle w:val="TableParagraph"/>
              <w:numPr>
                <w:ilvl w:val="0"/>
                <w:numId w:val="1"/>
              </w:numPr>
              <w:tabs>
                <w:tab w:val="left" w:pos="822"/>
                <w:tab w:val="left" w:pos="823"/>
              </w:tabs>
              <w:spacing w:before="0"/>
              <w:ind w:right="750"/>
            </w:pPr>
            <w:r w:rsidRPr="00543605">
              <w:t xml:space="preserve">Disadvantaged pupils’ speech language and communication needs are met.  </w:t>
            </w:r>
          </w:p>
          <w:p w:rsidR="0074352E" w:rsidRDefault="0074352E" w:rsidP="003411A5">
            <w:pPr>
              <w:pStyle w:val="TableParagraph"/>
              <w:spacing w:before="0"/>
              <w:ind w:right="750"/>
            </w:pPr>
            <w:r w:rsidRPr="00543605">
              <w:t>Exit data for reception pupils will show PPG pupils to be in line with others in communication and language.</w:t>
            </w:r>
          </w:p>
        </w:tc>
        <w:tc>
          <w:tcPr>
            <w:tcW w:w="2207" w:type="pct"/>
          </w:tcPr>
          <w:p w:rsidR="0074352E" w:rsidRDefault="0074352E" w:rsidP="003411A5">
            <w:pPr>
              <w:pStyle w:val="TableParagraph"/>
            </w:pPr>
            <w:r>
              <w:t xml:space="preserve">SALT conducted a whole class screening of speech, language and communication in Reception. </w:t>
            </w:r>
          </w:p>
          <w:p w:rsidR="0074352E" w:rsidRDefault="0074352E" w:rsidP="003411A5">
            <w:pPr>
              <w:pStyle w:val="TableParagraph"/>
            </w:pPr>
            <w:r>
              <w:t>Teachers and TAs were upskilled in deliv</w:t>
            </w:r>
            <w:r w:rsidR="000738AF">
              <w:t>ering the relevant interventions.</w:t>
            </w:r>
            <w:r w:rsidR="00EB5606">
              <w:t xml:space="preserve"> </w:t>
            </w:r>
          </w:p>
          <w:p w:rsidR="00EB5606" w:rsidRPr="00EB5606" w:rsidRDefault="00EB5606" w:rsidP="003411A5">
            <w:pPr>
              <w:pStyle w:val="TableParagraph"/>
              <w:rPr>
                <w:b/>
              </w:rPr>
            </w:pPr>
            <w:r w:rsidRPr="00EB5606">
              <w:rPr>
                <w:b/>
              </w:rPr>
              <w:t xml:space="preserve">Exit data in reception </w:t>
            </w:r>
          </w:p>
          <w:tbl>
            <w:tblPr>
              <w:tblStyle w:val="TableGrid"/>
              <w:tblW w:w="0" w:type="auto"/>
              <w:tblInd w:w="102" w:type="dxa"/>
              <w:tblLook w:val="04A0" w:firstRow="1" w:lastRow="0" w:firstColumn="1" w:lastColumn="0" w:noHBand="0" w:noVBand="1"/>
            </w:tblPr>
            <w:tblGrid>
              <w:gridCol w:w="1423"/>
              <w:gridCol w:w="1482"/>
              <w:gridCol w:w="1647"/>
              <w:gridCol w:w="1483"/>
            </w:tblGrid>
            <w:tr w:rsidR="00EB5606" w:rsidTr="00EB5606">
              <w:tc>
                <w:tcPr>
                  <w:tcW w:w="1534" w:type="dxa"/>
                </w:tcPr>
                <w:p w:rsidR="00EB5606" w:rsidRDefault="00EB5606" w:rsidP="003411A5">
                  <w:pPr>
                    <w:pStyle w:val="TableParagraph"/>
                    <w:ind w:left="0"/>
                  </w:pPr>
                </w:p>
              </w:tc>
              <w:tc>
                <w:tcPr>
                  <w:tcW w:w="1534" w:type="dxa"/>
                </w:tcPr>
                <w:p w:rsidR="00EB5606" w:rsidRDefault="00EB5606" w:rsidP="003411A5">
                  <w:pPr>
                    <w:pStyle w:val="TableParagraph"/>
                    <w:ind w:left="0"/>
                  </w:pPr>
                  <w:r>
                    <w:t>Listening and attention</w:t>
                  </w:r>
                </w:p>
                <w:p w:rsidR="00EB5606" w:rsidRDefault="00EB5606" w:rsidP="003411A5">
                  <w:pPr>
                    <w:pStyle w:val="TableParagraph"/>
                    <w:ind w:left="0"/>
                  </w:pPr>
                  <w:r>
                    <w:t>% Expected standard</w:t>
                  </w:r>
                </w:p>
              </w:tc>
              <w:tc>
                <w:tcPr>
                  <w:tcW w:w="1534" w:type="dxa"/>
                </w:tcPr>
                <w:p w:rsidR="00EB5606" w:rsidRDefault="00EB5606" w:rsidP="003411A5">
                  <w:pPr>
                    <w:pStyle w:val="TableParagraph"/>
                    <w:ind w:left="0"/>
                  </w:pPr>
                  <w:r>
                    <w:t>Understanding</w:t>
                  </w:r>
                </w:p>
                <w:p w:rsidR="00EB5606" w:rsidRPr="00EB5606" w:rsidRDefault="00EB5606" w:rsidP="00EB5606"/>
                <w:p w:rsidR="00EB5606" w:rsidRDefault="00EB5606" w:rsidP="00EB5606"/>
                <w:p w:rsidR="00EB5606" w:rsidRPr="00EB5606" w:rsidRDefault="00EB5606" w:rsidP="00EB5606">
                  <w:r>
                    <w:t>% Expected standard</w:t>
                  </w:r>
                </w:p>
              </w:tc>
              <w:tc>
                <w:tcPr>
                  <w:tcW w:w="1535" w:type="dxa"/>
                </w:tcPr>
                <w:p w:rsidR="00EB5606" w:rsidRDefault="00EB5606" w:rsidP="003411A5">
                  <w:pPr>
                    <w:pStyle w:val="TableParagraph"/>
                    <w:ind w:left="0"/>
                  </w:pPr>
                  <w:r>
                    <w:t>Speaking</w:t>
                  </w:r>
                </w:p>
                <w:p w:rsidR="00EB5606" w:rsidRPr="00EB5606" w:rsidRDefault="00EB5606" w:rsidP="00EB5606"/>
                <w:p w:rsidR="00EB5606" w:rsidRDefault="00EB5606" w:rsidP="00EB5606"/>
                <w:p w:rsidR="00EB5606" w:rsidRPr="00EB5606" w:rsidRDefault="00EB5606" w:rsidP="00EB5606">
                  <w:r>
                    <w:t>% Expected standard</w:t>
                  </w:r>
                </w:p>
              </w:tc>
            </w:tr>
            <w:tr w:rsidR="00EB5606" w:rsidTr="00EB5606">
              <w:tc>
                <w:tcPr>
                  <w:tcW w:w="1534" w:type="dxa"/>
                </w:tcPr>
                <w:p w:rsidR="00EB5606" w:rsidRDefault="00EB5606" w:rsidP="003411A5">
                  <w:pPr>
                    <w:pStyle w:val="TableParagraph"/>
                    <w:ind w:left="0"/>
                  </w:pPr>
                  <w:r>
                    <w:t>PPG (7)</w:t>
                  </w:r>
                </w:p>
              </w:tc>
              <w:tc>
                <w:tcPr>
                  <w:tcW w:w="1534" w:type="dxa"/>
                </w:tcPr>
                <w:p w:rsidR="00EB5606" w:rsidRDefault="00EB5606" w:rsidP="003411A5">
                  <w:pPr>
                    <w:pStyle w:val="TableParagraph"/>
                    <w:ind w:left="0"/>
                  </w:pPr>
                  <w:r>
                    <w:t xml:space="preserve">57% </w:t>
                  </w:r>
                </w:p>
              </w:tc>
              <w:tc>
                <w:tcPr>
                  <w:tcW w:w="1534" w:type="dxa"/>
                </w:tcPr>
                <w:p w:rsidR="00EB5606" w:rsidRDefault="00EB5606" w:rsidP="003411A5">
                  <w:pPr>
                    <w:pStyle w:val="TableParagraph"/>
                    <w:ind w:left="0"/>
                  </w:pPr>
                  <w:r>
                    <w:t>71%</w:t>
                  </w:r>
                </w:p>
              </w:tc>
              <w:tc>
                <w:tcPr>
                  <w:tcW w:w="1535" w:type="dxa"/>
                </w:tcPr>
                <w:p w:rsidR="00EB5606" w:rsidRDefault="00EB5606" w:rsidP="003411A5">
                  <w:pPr>
                    <w:pStyle w:val="TableParagraph"/>
                    <w:ind w:left="0"/>
                  </w:pPr>
                  <w:r>
                    <w:t>71%</w:t>
                  </w:r>
                </w:p>
              </w:tc>
            </w:tr>
            <w:tr w:rsidR="00EB5606" w:rsidTr="00EB5606">
              <w:tc>
                <w:tcPr>
                  <w:tcW w:w="1534" w:type="dxa"/>
                </w:tcPr>
                <w:p w:rsidR="00EB5606" w:rsidRDefault="00EB5606" w:rsidP="003411A5">
                  <w:pPr>
                    <w:pStyle w:val="TableParagraph"/>
                    <w:ind w:left="0"/>
                  </w:pPr>
                  <w:r>
                    <w:t>Non PPG (23)</w:t>
                  </w:r>
                </w:p>
              </w:tc>
              <w:tc>
                <w:tcPr>
                  <w:tcW w:w="1534" w:type="dxa"/>
                </w:tcPr>
                <w:p w:rsidR="00EB5606" w:rsidRDefault="00EB5606" w:rsidP="003411A5">
                  <w:pPr>
                    <w:pStyle w:val="TableParagraph"/>
                    <w:ind w:left="0"/>
                  </w:pPr>
                  <w:r>
                    <w:t>65%</w:t>
                  </w:r>
                </w:p>
              </w:tc>
              <w:tc>
                <w:tcPr>
                  <w:tcW w:w="1534" w:type="dxa"/>
                </w:tcPr>
                <w:p w:rsidR="00EB5606" w:rsidRDefault="00EB5606" w:rsidP="003411A5">
                  <w:pPr>
                    <w:pStyle w:val="TableParagraph"/>
                    <w:ind w:left="0"/>
                  </w:pPr>
                  <w:r>
                    <w:t>65%</w:t>
                  </w:r>
                </w:p>
              </w:tc>
              <w:tc>
                <w:tcPr>
                  <w:tcW w:w="1535" w:type="dxa"/>
                </w:tcPr>
                <w:p w:rsidR="00EB5606" w:rsidRDefault="00EB5606" w:rsidP="003411A5">
                  <w:pPr>
                    <w:pStyle w:val="TableParagraph"/>
                    <w:ind w:left="0"/>
                  </w:pPr>
                  <w:r>
                    <w:t>74%</w:t>
                  </w:r>
                </w:p>
              </w:tc>
            </w:tr>
          </w:tbl>
          <w:p w:rsidR="0074352E" w:rsidRDefault="0074352E" w:rsidP="00EB5606">
            <w:pPr>
              <w:pStyle w:val="TableParagraph"/>
            </w:pPr>
            <w:r>
              <w:t xml:space="preserve"> In the next academic year SALT will be more heavily involved with school attending weekly to work directly with children with Speech and language needs. </w:t>
            </w:r>
          </w:p>
        </w:tc>
      </w:tr>
    </w:tbl>
    <w:p w:rsidR="00710B9E" w:rsidRDefault="00710B9E"/>
    <w:p w:rsidR="00EC7141" w:rsidRDefault="00EC7141">
      <w:r w:rsidRPr="00C34674">
        <w:rPr>
          <w:rFonts w:eastAsia="Times New Roman" w:cs="Times New Roman"/>
          <w:noProof/>
          <w:lang w:val="en-GB" w:eastAsia="en-GB"/>
        </w:rPr>
        <w:drawing>
          <wp:anchor distT="0" distB="0" distL="114300" distR="114300" simplePos="0" relativeHeight="251659264" behindDoc="1" locked="0" layoutInCell="1" allowOverlap="1" wp14:anchorId="2F389ADC" wp14:editId="2999C509">
            <wp:simplePos x="0" y="0"/>
            <wp:positionH relativeFrom="column">
              <wp:posOffset>0</wp:posOffset>
            </wp:positionH>
            <wp:positionV relativeFrom="paragraph">
              <wp:posOffset>159385</wp:posOffset>
            </wp:positionV>
            <wp:extent cx="5736590" cy="1791970"/>
            <wp:effectExtent l="0" t="0" r="0" b="635"/>
            <wp:wrapTight wrapText="bothSides">
              <wp:wrapPolygon edited="0">
                <wp:start x="108" y="574"/>
                <wp:lineTo x="108" y="20796"/>
                <wp:lineTo x="21421" y="20796"/>
                <wp:lineTo x="21421" y="574"/>
                <wp:lineTo x="108" y="574"/>
              </wp:wrapPolygon>
            </wp:wrapTight>
            <wp:docPr id="14" name="Chart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Pr="00EC7141" w:rsidRDefault="00EC7141" w:rsidP="00EC7141"/>
    <w:p w:rsidR="00EC7141" w:rsidRDefault="00EC7141" w:rsidP="00F32520">
      <w:pPr>
        <w:tabs>
          <w:tab w:val="left" w:pos="1056"/>
          <w:tab w:val="left" w:pos="9885"/>
        </w:tabs>
      </w:pPr>
      <w:r>
        <w:tab/>
      </w:r>
      <w:r w:rsidR="00F32520">
        <w:tab/>
      </w:r>
    </w:p>
    <w:p w:rsidR="00F32520" w:rsidRDefault="00F32520" w:rsidP="00F32520">
      <w:pPr>
        <w:tabs>
          <w:tab w:val="left" w:pos="1056"/>
          <w:tab w:val="left" w:pos="9885"/>
        </w:tabs>
      </w:pPr>
    </w:p>
    <w:p w:rsidR="00F32520" w:rsidRDefault="00F32520" w:rsidP="00F32520">
      <w:pPr>
        <w:tabs>
          <w:tab w:val="left" w:pos="1056"/>
          <w:tab w:val="left" w:pos="9885"/>
        </w:tabs>
      </w:pPr>
      <w:r w:rsidRPr="00C34674">
        <w:rPr>
          <w:rFonts w:eastAsia="Times New Roman" w:cs="Times New Roman"/>
          <w:noProof/>
          <w:lang w:val="en-GB" w:eastAsia="en-GB"/>
        </w:rPr>
        <w:drawing>
          <wp:anchor distT="0" distB="0" distL="114300" distR="114300" simplePos="0" relativeHeight="251665408" behindDoc="1" locked="0" layoutInCell="1" allowOverlap="1" wp14:anchorId="634DB647" wp14:editId="37569CE8">
            <wp:simplePos x="0" y="0"/>
            <wp:positionH relativeFrom="margin">
              <wp:align>left</wp:align>
            </wp:positionH>
            <wp:positionV relativeFrom="paragraph">
              <wp:posOffset>64135</wp:posOffset>
            </wp:positionV>
            <wp:extent cx="5736590" cy="1791970"/>
            <wp:effectExtent l="0" t="0" r="16510" b="17780"/>
            <wp:wrapTight wrapText="bothSides">
              <wp:wrapPolygon edited="0">
                <wp:start x="0" y="0"/>
                <wp:lineTo x="0" y="21585"/>
                <wp:lineTo x="21590" y="21585"/>
                <wp:lineTo x="21590" y="0"/>
                <wp:lineTo x="0" y="0"/>
              </wp:wrapPolygon>
            </wp:wrapTight>
            <wp:docPr id="13" name="Chart 1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r w:rsidRPr="00C34674">
        <w:rPr>
          <w:rFonts w:eastAsia="Times New Roman" w:cs="Times New Roman"/>
          <w:noProof/>
          <w:lang w:val="en-GB" w:eastAsia="en-GB"/>
        </w:rPr>
        <w:drawing>
          <wp:anchor distT="0" distB="0" distL="114300" distR="114300" simplePos="0" relativeHeight="251663360" behindDoc="1" locked="0" layoutInCell="1" allowOverlap="1" wp14:anchorId="2290EB49" wp14:editId="2C9F1C53">
            <wp:simplePos x="0" y="0"/>
            <wp:positionH relativeFrom="margin">
              <wp:posOffset>9525</wp:posOffset>
            </wp:positionH>
            <wp:positionV relativeFrom="paragraph">
              <wp:posOffset>0</wp:posOffset>
            </wp:positionV>
            <wp:extent cx="5736590" cy="1791970"/>
            <wp:effectExtent l="0" t="0" r="16510" b="17780"/>
            <wp:wrapTight wrapText="bothSides">
              <wp:wrapPolygon edited="0">
                <wp:start x="0" y="0"/>
                <wp:lineTo x="0" y="21585"/>
                <wp:lineTo x="21590" y="21585"/>
                <wp:lineTo x="21590" y="0"/>
                <wp:lineTo x="0" y="0"/>
              </wp:wrapPolygon>
            </wp:wrapTight>
            <wp:docPr id="11" name="Chart 1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F32520" w:rsidP="00F32520">
      <w:pPr>
        <w:tabs>
          <w:tab w:val="left" w:pos="1056"/>
          <w:tab w:val="left" w:pos="9885"/>
        </w:tabs>
      </w:pPr>
    </w:p>
    <w:p w:rsidR="00F32520" w:rsidRDefault="00BA1A07" w:rsidP="00F32520">
      <w:pPr>
        <w:tabs>
          <w:tab w:val="left" w:pos="1056"/>
          <w:tab w:val="left" w:pos="9885"/>
        </w:tabs>
      </w:pPr>
      <w:r>
        <w:rPr>
          <w:noProof/>
          <w:lang w:val="en-GB" w:eastAsia="en-GB"/>
        </w:rPr>
        <mc:AlternateContent>
          <mc:Choice Requires="wps">
            <w:drawing>
              <wp:anchor distT="45720" distB="45720" distL="114300" distR="114300" simplePos="0" relativeHeight="251667456" behindDoc="0" locked="0" layoutInCell="1" allowOverlap="1">
                <wp:simplePos x="0" y="0"/>
                <wp:positionH relativeFrom="column">
                  <wp:posOffset>4124324</wp:posOffset>
                </wp:positionH>
                <wp:positionV relativeFrom="paragraph">
                  <wp:posOffset>177164</wp:posOffset>
                </wp:positionV>
                <wp:extent cx="3819525" cy="35909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3590925"/>
                        </a:xfrm>
                        <a:prstGeom prst="rect">
                          <a:avLst/>
                        </a:prstGeom>
                        <a:solidFill>
                          <a:srgbClr val="FFFFFF"/>
                        </a:solidFill>
                        <a:ln w="9525">
                          <a:solidFill>
                            <a:srgbClr val="000000"/>
                          </a:solidFill>
                          <a:miter lim="800000"/>
                          <a:headEnd/>
                          <a:tailEnd/>
                        </a:ln>
                      </wps:spPr>
                      <wps:txbx>
                        <w:txbxContent>
                          <w:p w:rsidR="00BA1A07" w:rsidRDefault="00BA1A07" w:rsidP="00BA1A07">
                            <w:pPr>
                              <w:tabs>
                                <w:tab w:val="left" w:pos="1056"/>
                                <w:tab w:val="left" w:pos="9885"/>
                              </w:tabs>
                            </w:pPr>
                            <w:r>
                              <w:t xml:space="preserve">This data along with progress data has identified cohorts for 2019 2020 who need additional support via the pupil premium strategy in order to close the gap between non pupil premium and pupil premium pupils with the same starting points. </w:t>
                            </w:r>
                          </w:p>
                          <w:p w:rsidR="00BA1A07" w:rsidRDefault="00BA1A07" w:rsidP="00BA1A07">
                            <w:pPr>
                              <w:tabs>
                                <w:tab w:val="left" w:pos="1056"/>
                                <w:tab w:val="left" w:pos="9885"/>
                              </w:tabs>
                            </w:pPr>
                          </w:p>
                          <w:p w:rsidR="00BA1A07" w:rsidRDefault="00BA1A07" w:rsidP="00BA1A07">
                            <w:pPr>
                              <w:tabs>
                                <w:tab w:val="left" w:pos="1056"/>
                                <w:tab w:val="left" w:pos="9885"/>
                              </w:tabs>
                            </w:pPr>
                            <w:r>
                              <w:t xml:space="preserve">Key information that has formed actions on the pupil premium strategy are: </w:t>
                            </w:r>
                          </w:p>
                          <w:p w:rsidR="00BA1A07" w:rsidRDefault="00BA1A07" w:rsidP="00BA1A07">
                            <w:pPr>
                              <w:pStyle w:val="ListParagraph"/>
                              <w:numPr>
                                <w:ilvl w:val="0"/>
                                <w:numId w:val="7"/>
                              </w:numPr>
                              <w:tabs>
                                <w:tab w:val="left" w:pos="1056"/>
                                <w:tab w:val="left" w:pos="9885"/>
                              </w:tabs>
                            </w:pPr>
                            <w:r>
                              <w:t xml:space="preserve">Prior attainment shows that on entry to year 3 disadvantaged pupils underperform compared to non-disadvantaged pupils. </w:t>
                            </w:r>
                          </w:p>
                          <w:p w:rsidR="00BA1A07" w:rsidRPr="00BA1A07" w:rsidRDefault="00BA1A07" w:rsidP="00BA1A07">
                            <w:pPr>
                              <w:pStyle w:val="NormalWeb"/>
                              <w:numPr>
                                <w:ilvl w:val="0"/>
                                <w:numId w:val="7"/>
                              </w:numPr>
                              <w:rPr>
                                <w:rFonts w:ascii="Arial" w:eastAsia="Arial" w:hAnsi="Arial" w:cs="Arial"/>
                                <w:sz w:val="22"/>
                                <w:szCs w:val="22"/>
                                <w:lang w:val="en-US" w:eastAsia="en-US"/>
                              </w:rPr>
                            </w:pPr>
                            <w:r w:rsidRPr="00BA1A07">
                              <w:rPr>
                                <w:rFonts w:ascii="Arial" w:eastAsia="Arial" w:hAnsi="Arial" w:cs="Arial"/>
                                <w:sz w:val="22"/>
                                <w:szCs w:val="22"/>
                                <w:lang w:val="en-US" w:eastAsia="en-US"/>
                              </w:rPr>
                              <w:t xml:space="preserve">Current attainment of disadvantaged pupils requires them to make accelerated progress to reach greater depth in Reading, Writing and </w:t>
                            </w:r>
                            <w:proofErr w:type="spellStart"/>
                            <w:r w:rsidRPr="00BA1A07">
                              <w:rPr>
                                <w:rFonts w:ascii="Arial" w:eastAsia="Arial" w:hAnsi="Arial" w:cs="Arial"/>
                                <w:sz w:val="22"/>
                                <w:szCs w:val="22"/>
                                <w:lang w:val="en-US" w:eastAsia="en-US"/>
                              </w:rPr>
                              <w:t>Maths</w:t>
                            </w:r>
                            <w:proofErr w:type="spellEnd"/>
                            <w:r w:rsidRPr="00BA1A07">
                              <w:rPr>
                                <w:rFonts w:ascii="Arial" w:eastAsia="Arial" w:hAnsi="Arial" w:cs="Arial"/>
                                <w:sz w:val="22"/>
                                <w:szCs w:val="22"/>
                                <w:lang w:val="en-US" w:eastAsia="en-US"/>
                              </w:rPr>
                              <w:t xml:space="preserve">. </w:t>
                            </w:r>
                          </w:p>
                          <w:p w:rsidR="00BA1A07" w:rsidRDefault="00BA1A07" w:rsidP="00BA1A07">
                            <w:pPr>
                              <w:pStyle w:val="NormalWeb"/>
                              <w:numPr>
                                <w:ilvl w:val="0"/>
                                <w:numId w:val="7"/>
                              </w:numPr>
                              <w:rPr>
                                <w:rFonts w:ascii="Arial" w:eastAsia="Arial" w:hAnsi="Arial" w:cs="Arial"/>
                                <w:sz w:val="22"/>
                                <w:szCs w:val="22"/>
                                <w:lang w:val="en-US" w:eastAsia="en-US"/>
                              </w:rPr>
                            </w:pPr>
                            <w:r w:rsidRPr="00BA1A07">
                              <w:rPr>
                                <w:rFonts w:ascii="Arial" w:eastAsia="Arial" w:hAnsi="Arial" w:cs="Arial"/>
                                <w:sz w:val="22"/>
                                <w:szCs w:val="22"/>
                                <w:lang w:val="en-US" w:eastAsia="en-US"/>
                              </w:rPr>
                              <w:t xml:space="preserve">Prior progress data shows disadvantaged pupils make slower rates of progress in reading, writing and </w:t>
                            </w:r>
                            <w:proofErr w:type="spellStart"/>
                            <w:r w:rsidRPr="00BA1A07">
                              <w:rPr>
                                <w:rFonts w:ascii="Arial" w:eastAsia="Arial" w:hAnsi="Arial" w:cs="Arial"/>
                                <w:sz w:val="22"/>
                                <w:szCs w:val="22"/>
                                <w:lang w:val="en-US" w:eastAsia="en-US"/>
                              </w:rPr>
                              <w:t>maths</w:t>
                            </w:r>
                            <w:proofErr w:type="spellEnd"/>
                            <w:r w:rsidRPr="00BA1A07">
                              <w:rPr>
                                <w:rFonts w:ascii="Arial" w:eastAsia="Arial" w:hAnsi="Arial" w:cs="Arial"/>
                                <w:sz w:val="22"/>
                                <w:szCs w:val="22"/>
                                <w:lang w:val="en-US" w:eastAsia="en-US"/>
                              </w:rPr>
                              <w:t xml:space="preserve"> in years 3, 4 and 6.</w:t>
                            </w:r>
                          </w:p>
                          <w:p w:rsidR="00BA1A07" w:rsidRPr="00BA1A07" w:rsidRDefault="00BA1A07" w:rsidP="00BA1A07">
                            <w:pPr>
                              <w:pStyle w:val="NormalWeb"/>
                              <w:rPr>
                                <w:rFonts w:ascii="Arial" w:eastAsia="Arial" w:hAnsi="Arial" w:cs="Arial"/>
                                <w:sz w:val="22"/>
                                <w:szCs w:val="22"/>
                                <w:lang w:val="en-US" w:eastAsia="en-US"/>
                              </w:rPr>
                            </w:pPr>
                            <w:r>
                              <w:rPr>
                                <w:rFonts w:ascii="Arial" w:eastAsia="Arial" w:hAnsi="Arial" w:cs="Arial"/>
                                <w:sz w:val="22"/>
                                <w:szCs w:val="22"/>
                                <w:lang w:val="en-US" w:eastAsia="en-US"/>
                              </w:rPr>
                              <w:t xml:space="preserve">Note: Moving into year 6 the year 5 target for PP pupils will not be in line with non PP due to PP pupils who are HLN SEND.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4.75pt;margin-top:13.95pt;width:300.75pt;height:282.7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">
                <v:textbox>
                  <w:txbxContent>
                    <w:p w:rsidR="00BA1A07" w:rsidRDefault="00BA1A07" w:rsidP="00BA1A07">
                      <w:pPr>
                        <w:tabs>
                          <w:tab w:val="left" w:pos="1056"/>
                          <w:tab w:val="left" w:pos="9885"/>
                        </w:tabs>
                      </w:pPr>
                      <w:r>
                        <w:t xml:space="preserve">This data along with progress data has identified cohorts for 2019 2020 who need additional support via the pupil premium strategy in order to close the gap between non pupil premium and pupil premium pupils with the same starting points. </w:t>
                      </w:r>
                    </w:p>
                    <w:p w:rsidR="00BA1A07" w:rsidRDefault="00BA1A07" w:rsidP="00BA1A07">
                      <w:pPr>
                        <w:tabs>
                          <w:tab w:val="left" w:pos="1056"/>
                          <w:tab w:val="left" w:pos="9885"/>
                        </w:tabs>
                      </w:pPr>
                    </w:p>
                    <w:p w:rsidR="00BA1A07" w:rsidRDefault="00BA1A07" w:rsidP="00BA1A07">
                      <w:pPr>
                        <w:tabs>
                          <w:tab w:val="left" w:pos="1056"/>
                          <w:tab w:val="left" w:pos="9885"/>
                        </w:tabs>
                      </w:pPr>
                      <w:r>
                        <w:t xml:space="preserve">Key information that has formed actions on the pupil premium strategy are: </w:t>
                      </w:r>
                    </w:p>
                    <w:p w:rsidR="00BA1A07" w:rsidRDefault="00BA1A07" w:rsidP="00BA1A07">
                      <w:pPr>
                        <w:pStyle w:val="ListParagraph"/>
                        <w:numPr>
                          <w:ilvl w:val="0"/>
                          <w:numId w:val="7"/>
                        </w:numPr>
                        <w:tabs>
                          <w:tab w:val="left" w:pos="1056"/>
                          <w:tab w:val="left" w:pos="9885"/>
                        </w:tabs>
                      </w:pPr>
                      <w:r>
                        <w:t xml:space="preserve">Prior attainment shows that on entry to year 3 disadvantaged pupils underperform compared to non-disadvantaged pupils. </w:t>
                      </w:r>
                    </w:p>
                    <w:p w:rsidR="00BA1A07" w:rsidRPr="00BA1A07" w:rsidRDefault="00BA1A07" w:rsidP="00BA1A07">
                      <w:pPr>
                        <w:pStyle w:val="NormalWeb"/>
                        <w:numPr>
                          <w:ilvl w:val="0"/>
                          <w:numId w:val="7"/>
                        </w:numPr>
                        <w:rPr>
                          <w:rFonts w:ascii="Arial" w:eastAsia="Arial" w:hAnsi="Arial" w:cs="Arial"/>
                          <w:sz w:val="22"/>
                          <w:szCs w:val="22"/>
                          <w:lang w:val="en-US" w:eastAsia="en-US"/>
                        </w:rPr>
                      </w:pPr>
                      <w:r w:rsidRPr="00BA1A07">
                        <w:rPr>
                          <w:rFonts w:ascii="Arial" w:eastAsia="Arial" w:hAnsi="Arial" w:cs="Arial"/>
                          <w:sz w:val="22"/>
                          <w:szCs w:val="22"/>
                          <w:lang w:val="en-US" w:eastAsia="en-US"/>
                        </w:rPr>
                        <w:t xml:space="preserve">Current attainment of disadvantaged pupils requires them to make accelerated progress to reach greater depth in Reading, Writing and </w:t>
                      </w:r>
                      <w:proofErr w:type="spellStart"/>
                      <w:r w:rsidRPr="00BA1A07">
                        <w:rPr>
                          <w:rFonts w:ascii="Arial" w:eastAsia="Arial" w:hAnsi="Arial" w:cs="Arial"/>
                          <w:sz w:val="22"/>
                          <w:szCs w:val="22"/>
                          <w:lang w:val="en-US" w:eastAsia="en-US"/>
                        </w:rPr>
                        <w:t>Maths</w:t>
                      </w:r>
                      <w:proofErr w:type="spellEnd"/>
                      <w:r w:rsidRPr="00BA1A07">
                        <w:rPr>
                          <w:rFonts w:ascii="Arial" w:eastAsia="Arial" w:hAnsi="Arial" w:cs="Arial"/>
                          <w:sz w:val="22"/>
                          <w:szCs w:val="22"/>
                          <w:lang w:val="en-US" w:eastAsia="en-US"/>
                        </w:rPr>
                        <w:t xml:space="preserve">. </w:t>
                      </w:r>
                    </w:p>
                    <w:p w:rsidR="00BA1A07" w:rsidRDefault="00BA1A07" w:rsidP="00BA1A07">
                      <w:pPr>
                        <w:pStyle w:val="NormalWeb"/>
                        <w:numPr>
                          <w:ilvl w:val="0"/>
                          <w:numId w:val="7"/>
                        </w:numPr>
                        <w:rPr>
                          <w:rFonts w:ascii="Arial" w:eastAsia="Arial" w:hAnsi="Arial" w:cs="Arial"/>
                          <w:sz w:val="22"/>
                          <w:szCs w:val="22"/>
                          <w:lang w:val="en-US" w:eastAsia="en-US"/>
                        </w:rPr>
                      </w:pPr>
                      <w:r w:rsidRPr="00BA1A07">
                        <w:rPr>
                          <w:rFonts w:ascii="Arial" w:eastAsia="Arial" w:hAnsi="Arial" w:cs="Arial"/>
                          <w:sz w:val="22"/>
                          <w:szCs w:val="22"/>
                          <w:lang w:val="en-US" w:eastAsia="en-US"/>
                        </w:rPr>
                        <w:t xml:space="preserve">Prior progress data shows disadvantaged pupils make slower rates of progress in reading, writing and </w:t>
                      </w:r>
                      <w:proofErr w:type="spellStart"/>
                      <w:r w:rsidRPr="00BA1A07">
                        <w:rPr>
                          <w:rFonts w:ascii="Arial" w:eastAsia="Arial" w:hAnsi="Arial" w:cs="Arial"/>
                          <w:sz w:val="22"/>
                          <w:szCs w:val="22"/>
                          <w:lang w:val="en-US" w:eastAsia="en-US"/>
                        </w:rPr>
                        <w:t>maths</w:t>
                      </w:r>
                      <w:proofErr w:type="spellEnd"/>
                      <w:r w:rsidRPr="00BA1A07">
                        <w:rPr>
                          <w:rFonts w:ascii="Arial" w:eastAsia="Arial" w:hAnsi="Arial" w:cs="Arial"/>
                          <w:sz w:val="22"/>
                          <w:szCs w:val="22"/>
                          <w:lang w:val="en-US" w:eastAsia="en-US"/>
                        </w:rPr>
                        <w:t xml:space="preserve"> in years 3, 4 and 6.</w:t>
                      </w:r>
                    </w:p>
                    <w:p w:rsidR="00BA1A07" w:rsidRPr="00BA1A07" w:rsidRDefault="00BA1A07" w:rsidP="00BA1A07">
                      <w:pPr>
                        <w:pStyle w:val="NormalWeb"/>
                        <w:rPr>
                          <w:rFonts w:ascii="Arial" w:eastAsia="Arial" w:hAnsi="Arial" w:cs="Arial"/>
                          <w:sz w:val="22"/>
                          <w:szCs w:val="22"/>
                          <w:lang w:val="en-US" w:eastAsia="en-US"/>
                        </w:rPr>
                      </w:pPr>
                      <w:r>
                        <w:rPr>
                          <w:rFonts w:ascii="Arial" w:eastAsia="Arial" w:hAnsi="Arial" w:cs="Arial"/>
                          <w:sz w:val="22"/>
                          <w:szCs w:val="22"/>
                          <w:lang w:val="en-US" w:eastAsia="en-US"/>
                        </w:rPr>
                        <w:t xml:space="preserve">Note: Moving into year 6 the year 5 target for PP pupils will not be in line with non PP due to PP pupils who are HLN SEND. </w:t>
                      </w:r>
                    </w:p>
                  </w:txbxContent>
                </v:textbox>
              </v:shape>
            </w:pict>
          </mc:Fallback>
        </mc:AlternateContent>
      </w:r>
    </w:p>
    <w:tbl>
      <w:tblPr>
        <w:tblStyle w:val="TableGrid"/>
        <w:tblW w:w="6137" w:type="dxa"/>
        <w:tblInd w:w="-5" w:type="dxa"/>
        <w:tblLook w:val="04A0" w:firstRow="1" w:lastRow="0" w:firstColumn="1" w:lastColumn="0" w:noHBand="0" w:noVBand="1"/>
      </w:tblPr>
      <w:tblGrid>
        <w:gridCol w:w="2045"/>
        <w:gridCol w:w="2046"/>
        <w:gridCol w:w="2046"/>
      </w:tblGrid>
      <w:tr w:rsidR="00BA1A07" w:rsidTr="00BA1A07">
        <w:tc>
          <w:tcPr>
            <w:tcW w:w="2045" w:type="dxa"/>
          </w:tcPr>
          <w:p w:rsidR="00BA1A07" w:rsidRPr="00BA1A07" w:rsidRDefault="00BA1A07" w:rsidP="003B2D2D">
            <w:pPr>
              <w:pStyle w:val="TableParagraph"/>
              <w:ind w:left="0"/>
              <w:rPr>
                <w:sz w:val="20"/>
              </w:rPr>
            </w:pPr>
            <w:r w:rsidRPr="00BA1A07">
              <w:rPr>
                <w:sz w:val="20"/>
              </w:rPr>
              <w:t>Class</w:t>
            </w:r>
          </w:p>
        </w:tc>
        <w:tc>
          <w:tcPr>
            <w:tcW w:w="2046" w:type="dxa"/>
          </w:tcPr>
          <w:p w:rsidR="00BA1A07" w:rsidRPr="00BA1A07" w:rsidRDefault="00BA1A07" w:rsidP="003B2D2D">
            <w:pPr>
              <w:pStyle w:val="TableParagraph"/>
              <w:ind w:left="0"/>
              <w:rPr>
                <w:sz w:val="20"/>
              </w:rPr>
            </w:pPr>
            <w:r w:rsidRPr="00BA1A07">
              <w:rPr>
                <w:sz w:val="20"/>
              </w:rPr>
              <w:t>% Targeted Greater Depth</w:t>
            </w:r>
          </w:p>
        </w:tc>
        <w:tc>
          <w:tcPr>
            <w:tcW w:w="2046" w:type="dxa"/>
          </w:tcPr>
          <w:p w:rsidR="00BA1A07" w:rsidRPr="00BA1A07" w:rsidRDefault="00BA1A07" w:rsidP="003B2D2D">
            <w:pPr>
              <w:pStyle w:val="TableParagraph"/>
              <w:ind w:left="0"/>
              <w:rPr>
                <w:sz w:val="20"/>
              </w:rPr>
            </w:pPr>
            <w:r w:rsidRPr="00BA1A07">
              <w:rPr>
                <w:sz w:val="20"/>
              </w:rPr>
              <w:t>% Achieved Greater Depth</w:t>
            </w:r>
          </w:p>
        </w:tc>
      </w:tr>
      <w:tr w:rsidR="00BA1A07" w:rsidTr="00BA1A07">
        <w:tc>
          <w:tcPr>
            <w:tcW w:w="2045" w:type="dxa"/>
          </w:tcPr>
          <w:p w:rsidR="00BA1A07" w:rsidRPr="00BA1A07" w:rsidRDefault="00BA1A07" w:rsidP="003B2D2D">
            <w:pPr>
              <w:pStyle w:val="TableParagraph"/>
              <w:ind w:left="0"/>
              <w:rPr>
                <w:sz w:val="20"/>
              </w:rPr>
            </w:pPr>
            <w:r w:rsidRPr="00BA1A07">
              <w:rPr>
                <w:sz w:val="20"/>
              </w:rPr>
              <w:t>Year 1</w:t>
            </w:r>
          </w:p>
        </w:tc>
        <w:tc>
          <w:tcPr>
            <w:tcW w:w="2046" w:type="dxa"/>
          </w:tcPr>
          <w:p w:rsidR="00BA1A07" w:rsidRPr="00BA1A07" w:rsidRDefault="00BA1A07" w:rsidP="003B2D2D">
            <w:pPr>
              <w:pStyle w:val="TableParagraph"/>
              <w:ind w:left="0"/>
              <w:rPr>
                <w:sz w:val="20"/>
              </w:rPr>
            </w:pPr>
            <w:r w:rsidRPr="00BA1A07">
              <w:rPr>
                <w:sz w:val="20"/>
              </w:rPr>
              <w:t>R -11%</w:t>
            </w:r>
          </w:p>
          <w:p w:rsidR="00BA1A07" w:rsidRPr="00BA1A07" w:rsidRDefault="00BA1A07" w:rsidP="003B2D2D">
            <w:pPr>
              <w:pStyle w:val="TableParagraph"/>
              <w:ind w:left="0"/>
              <w:rPr>
                <w:sz w:val="20"/>
              </w:rPr>
            </w:pPr>
            <w:r w:rsidRPr="00BA1A07">
              <w:rPr>
                <w:sz w:val="20"/>
              </w:rPr>
              <w:t>W – 11%</w:t>
            </w:r>
          </w:p>
          <w:p w:rsidR="00BA1A07" w:rsidRPr="00BA1A07" w:rsidRDefault="00BA1A07" w:rsidP="003B2D2D">
            <w:pPr>
              <w:pStyle w:val="TableParagraph"/>
              <w:ind w:left="0"/>
              <w:rPr>
                <w:sz w:val="20"/>
              </w:rPr>
            </w:pPr>
            <w:r w:rsidRPr="00BA1A07">
              <w:rPr>
                <w:sz w:val="20"/>
              </w:rPr>
              <w:t>M -0%</w:t>
            </w:r>
          </w:p>
        </w:tc>
        <w:tc>
          <w:tcPr>
            <w:tcW w:w="2046" w:type="dxa"/>
          </w:tcPr>
          <w:p w:rsidR="00BA1A07" w:rsidRPr="00BA1A07" w:rsidRDefault="00BA1A07" w:rsidP="003B2D2D">
            <w:pPr>
              <w:pStyle w:val="TableParagraph"/>
              <w:ind w:left="0"/>
              <w:rPr>
                <w:sz w:val="20"/>
              </w:rPr>
            </w:pPr>
            <w:r w:rsidRPr="00BA1A07">
              <w:rPr>
                <w:sz w:val="20"/>
              </w:rPr>
              <w:t>R – 0%</w:t>
            </w:r>
          </w:p>
          <w:p w:rsidR="00BA1A07" w:rsidRPr="00BA1A07" w:rsidRDefault="00BA1A07" w:rsidP="003B2D2D">
            <w:pPr>
              <w:pStyle w:val="TableParagraph"/>
              <w:ind w:left="0"/>
              <w:rPr>
                <w:sz w:val="20"/>
              </w:rPr>
            </w:pPr>
            <w:r w:rsidRPr="00BA1A07">
              <w:rPr>
                <w:sz w:val="20"/>
              </w:rPr>
              <w:t>W – 0%</w:t>
            </w:r>
          </w:p>
          <w:p w:rsidR="00BA1A07" w:rsidRPr="00BA1A07" w:rsidRDefault="00BA1A07" w:rsidP="003B2D2D">
            <w:pPr>
              <w:pStyle w:val="TableParagraph"/>
              <w:ind w:left="0"/>
              <w:rPr>
                <w:sz w:val="20"/>
              </w:rPr>
            </w:pPr>
            <w:r w:rsidRPr="00BA1A07">
              <w:rPr>
                <w:sz w:val="20"/>
              </w:rPr>
              <w:t>M – 0%</w:t>
            </w:r>
          </w:p>
        </w:tc>
      </w:tr>
      <w:tr w:rsidR="00BA1A07" w:rsidTr="00BA1A07">
        <w:tc>
          <w:tcPr>
            <w:tcW w:w="2045" w:type="dxa"/>
          </w:tcPr>
          <w:p w:rsidR="00BA1A07" w:rsidRPr="00BA1A07" w:rsidRDefault="00BA1A07" w:rsidP="003B2D2D">
            <w:pPr>
              <w:pStyle w:val="TableParagraph"/>
              <w:ind w:left="0"/>
              <w:rPr>
                <w:sz w:val="20"/>
              </w:rPr>
            </w:pPr>
            <w:r w:rsidRPr="00BA1A07">
              <w:rPr>
                <w:sz w:val="20"/>
              </w:rPr>
              <w:t>Year 2</w:t>
            </w:r>
          </w:p>
        </w:tc>
        <w:tc>
          <w:tcPr>
            <w:tcW w:w="2046" w:type="dxa"/>
          </w:tcPr>
          <w:p w:rsidR="00BA1A07" w:rsidRPr="00BA1A07" w:rsidRDefault="00BA1A07" w:rsidP="003B2D2D">
            <w:pPr>
              <w:pStyle w:val="TableParagraph"/>
              <w:ind w:left="0"/>
              <w:rPr>
                <w:sz w:val="20"/>
              </w:rPr>
            </w:pPr>
            <w:r w:rsidRPr="00BA1A07">
              <w:rPr>
                <w:sz w:val="20"/>
              </w:rPr>
              <w:t>R -25%</w:t>
            </w:r>
          </w:p>
          <w:p w:rsidR="00BA1A07" w:rsidRPr="00BA1A07" w:rsidRDefault="00BA1A07" w:rsidP="003B2D2D">
            <w:pPr>
              <w:pStyle w:val="TableParagraph"/>
              <w:ind w:left="0"/>
              <w:rPr>
                <w:sz w:val="20"/>
              </w:rPr>
            </w:pPr>
            <w:r w:rsidRPr="00BA1A07">
              <w:rPr>
                <w:sz w:val="20"/>
              </w:rPr>
              <w:t>W – 0%</w:t>
            </w:r>
          </w:p>
          <w:p w:rsidR="00BA1A07" w:rsidRPr="00BA1A07" w:rsidRDefault="00BA1A07" w:rsidP="003B2D2D">
            <w:pPr>
              <w:pStyle w:val="TableParagraph"/>
              <w:ind w:left="0"/>
              <w:rPr>
                <w:sz w:val="20"/>
              </w:rPr>
            </w:pPr>
            <w:r w:rsidRPr="00BA1A07">
              <w:rPr>
                <w:sz w:val="20"/>
              </w:rPr>
              <w:t>M- 0%</w:t>
            </w:r>
          </w:p>
        </w:tc>
        <w:tc>
          <w:tcPr>
            <w:tcW w:w="2046" w:type="dxa"/>
          </w:tcPr>
          <w:p w:rsidR="00BA1A07" w:rsidRPr="00BA1A07" w:rsidRDefault="00BA1A07" w:rsidP="003B2D2D">
            <w:pPr>
              <w:pStyle w:val="TableParagraph"/>
              <w:ind w:left="0"/>
              <w:rPr>
                <w:sz w:val="20"/>
              </w:rPr>
            </w:pPr>
            <w:r w:rsidRPr="00BA1A07">
              <w:rPr>
                <w:sz w:val="20"/>
              </w:rPr>
              <w:t>R – 14%</w:t>
            </w:r>
          </w:p>
          <w:p w:rsidR="00BA1A07" w:rsidRPr="00BA1A07" w:rsidRDefault="00BA1A07" w:rsidP="003B2D2D">
            <w:pPr>
              <w:pStyle w:val="TableParagraph"/>
              <w:ind w:left="0"/>
              <w:rPr>
                <w:sz w:val="20"/>
              </w:rPr>
            </w:pPr>
            <w:r w:rsidRPr="00BA1A07">
              <w:rPr>
                <w:sz w:val="20"/>
              </w:rPr>
              <w:t>W – 0%</w:t>
            </w:r>
          </w:p>
          <w:p w:rsidR="00BA1A07" w:rsidRPr="00BA1A07" w:rsidRDefault="00BA1A07" w:rsidP="003B2D2D">
            <w:pPr>
              <w:pStyle w:val="TableParagraph"/>
              <w:ind w:left="0"/>
              <w:rPr>
                <w:sz w:val="20"/>
              </w:rPr>
            </w:pPr>
            <w:r w:rsidRPr="00BA1A07">
              <w:rPr>
                <w:sz w:val="20"/>
              </w:rPr>
              <w:t>M – 0%</w:t>
            </w:r>
          </w:p>
        </w:tc>
      </w:tr>
      <w:tr w:rsidR="00BA1A07" w:rsidTr="00BA1A07">
        <w:tc>
          <w:tcPr>
            <w:tcW w:w="2045" w:type="dxa"/>
          </w:tcPr>
          <w:p w:rsidR="00BA1A07" w:rsidRPr="00BA1A07" w:rsidRDefault="00BA1A07" w:rsidP="003B2D2D">
            <w:pPr>
              <w:pStyle w:val="TableParagraph"/>
              <w:ind w:left="0"/>
              <w:rPr>
                <w:sz w:val="20"/>
              </w:rPr>
            </w:pPr>
            <w:r w:rsidRPr="00BA1A07">
              <w:rPr>
                <w:sz w:val="20"/>
              </w:rPr>
              <w:t>Year 3</w:t>
            </w:r>
          </w:p>
        </w:tc>
        <w:tc>
          <w:tcPr>
            <w:tcW w:w="2046" w:type="dxa"/>
          </w:tcPr>
          <w:p w:rsidR="00BA1A07" w:rsidRPr="00BA1A07" w:rsidRDefault="00BA1A07" w:rsidP="003B2D2D">
            <w:pPr>
              <w:pStyle w:val="TableParagraph"/>
              <w:ind w:left="0"/>
              <w:rPr>
                <w:sz w:val="20"/>
              </w:rPr>
            </w:pPr>
            <w:r w:rsidRPr="00BA1A07">
              <w:rPr>
                <w:sz w:val="20"/>
              </w:rPr>
              <w:t>R -9%</w:t>
            </w:r>
          </w:p>
          <w:p w:rsidR="00BA1A07" w:rsidRPr="00BA1A07" w:rsidRDefault="00BA1A07" w:rsidP="003B2D2D">
            <w:pPr>
              <w:pStyle w:val="TableParagraph"/>
              <w:ind w:left="0"/>
              <w:rPr>
                <w:sz w:val="20"/>
              </w:rPr>
            </w:pPr>
            <w:r w:rsidRPr="00BA1A07">
              <w:rPr>
                <w:sz w:val="20"/>
              </w:rPr>
              <w:t>W -0%</w:t>
            </w:r>
          </w:p>
          <w:p w:rsidR="00BA1A07" w:rsidRPr="00BA1A07" w:rsidRDefault="00BA1A07" w:rsidP="003B2D2D">
            <w:pPr>
              <w:pStyle w:val="TableParagraph"/>
              <w:ind w:left="0"/>
              <w:rPr>
                <w:sz w:val="20"/>
              </w:rPr>
            </w:pPr>
            <w:r w:rsidRPr="00BA1A07">
              <w:rPr>
                <w:sz w:val="20"/>
              </w:rPr>
              <w:t>M -18%</w:t>
            </w:r>
          </w:p>
        </w:tc>
        <w:tc>
          <w:tcPr>
            <w:tcW w:w="2046" w:type="dxa"/>
          </w:tcPr>
          <w:p w:rsidR="00BA1A07" w:rsidRPr="00BA1A07" w:rsidRDefault="00BA1A07" w:rsidP="003B2D2D">
            <w:pPr>
              <w:pStyle w:val="TableParagraph"/>
              <w:ind w:left="0"/>
              <w:rPr>
                <w:sz w:val="20"/>
              </w:rPr>
            </w:pPr>
            <w:r w:rsidRPr="00BA1A07">
              <w:rPr>
                <w:sz w:val="20"/>
              </w:rPr>
              <w:t>R – 10%</w:t>
            </w:r>
          </w:p>
          <w:p w:rsidR="00BA1A07" w:rsidRPr="00BA1A07" w:rsidRDefault="00BA1A07" w:rsidP="003B2D2D">
            <w:pPr>
              <w:pStyle w:val="TableParagraph"/>
              <w:ind w:left="0"/>
              <w:rPr>
                <w:sz w:val="20"/>
              </w:rPr>
            </w:pPr>
            <w:r w:rsidRPr="00BA1A07">
              <w:rPr>
                <w:sz w:val="20"/>
              </w:rPr>
              <w:t>W – 10%</w:t>
            </w:r>
          </w:p>
          <w:p w:rsidR="00BA1A07" w:rsidRPr="00BA1A07" w:rsidRDefault="00BA1A07" w:rsidP="003B2D2D">
            <w:pPr>
              <w:pStyle w:val="TableParagraph"/>
              <w:ind w:left="0"/>
              <w:rPr>
                <w:sz w:val="20"/>
              </w:rPr>
            </w:pPr>
            <w:r w:rsidRPr="00BA1A07">
              <w:rPr>
                <w:sz w:val="20"/>
              </w:rPr>
              <w:t>M – 20%</w:t>
            </w:r>
          </w:p>
        </w:tc>
      </w:tr>
      <w:tr w:rsidR="00BA1A07" w:rsidTr="00BA1A07">
        <w:tc>
          <w:tcPr>
            <w:tcW w:w="2045" w:type="dxa"/>
          </w:tcPr>
          <w:p w:rsidR="00BA1A07" w:rsidRPr="00BA1A07" w:rsidRDefault="00BA1A07" w:rsidP="003B2D2D">
            <w:pPr>
              <w:pStyle w:val="TableParagraph"/>
              <w:ind w:left="0"/>
              <w:rPr>
                <w:sz w:val="20"/>
              </w:rPr>
            </w:pPr>
            <w:r w:rsidRPr="00BA1A07">
              <w:rPr>
                <w:sz w:val="20"/>
              </w:rPr>
              <w:t>Year 4</w:t>
            </w:r>
          </w:p>
        </w:tc>
        <w:tc>
          <w:tcPr>
            <w:tcW w:w="2046" w:type="dxa"/>
          </w:tcPr>
          <w:p w:rsidR="00BA1A07" w:rsidRPr="00BA1A07" w:rsidRDefault="00BA1A07" w:rsidP="003B2D2D">
            <w:pPr>
              <w:pStyle w:val="TableParagraph"/>
              <w:ind w:left="0"/>
              <w:rPr>
                <w:sz w:val="20"/>
              </w:rPr>
            </w:pPr>
            <w:r w:rsidRPr="00BA1A07">
              <w:rPr>
                <w:sz w:val="20"/>
              </w:rPr>
              <w:t>R -10%</w:t>
            </w:r>
          </w:p>
          <w:p w:rsidR="00BA1A07" w:rsidRPr="00BA1A07" w:rsidRDefault="00BA1A07" w:rsidP="003B2D2D">
            <w:pPr>
              <w:pStyle w:val="TableParagraph"/>
              <w:ind w:left="0"/>
              <w:rPr>
                <w:sz w:val="20"/>
              </w:rPr>
            </w:pPr>
            <w:r w:rsidRPr="00BA1A07">
              <w:rPr>
                <w:sz w:val="20"/>
              </w:rPr>
              <w:t>W -10%</w:t>
            </w:r>
          </w:p>
          <w:p w:rsidR="00BA1A07" w:rsidRPr="00BA1A07" w:rsidRDefault="00BA1A07" w:rsidP="003B2D2D">
            <w:pPr>
              <w:pStyle w:val="TableParagraph"/>
              <w:ind w:left="0"/>
              <w:rPr>
                <w:sz w:val="20"/>
              </w:rPr>
            </w:pPr>
            <w:r w:rsidRPr="00BA1A07">
              <w:rPr>
                <w:sz w:val="20"/>
              </w:rPr>
              <w:t>M – 20%</w:t>
            </w:r>
          </w:p>
        </w:tc>
        <w:tc>
          <w:tcPr>
            <w:tcW w:w="2046" w:type="dxa"/>
          </w:tcPr>
          <w:p w:rsidR="00BA1A07" w:rsidRPr="00BA1A07" w:rsidRDefault="00BA1A07" w:rsidP="003B2D2D">
            <w:pPr>
              <w:pStyle w:val="TableParagraph"/>
              <w:ind w:left="0"/>
              <w:rPr>
                <w:sz w:val="20"/>
              </w:rPr>
            </w:pPr>
            <w:r w:rsidRPr="00BA1A07">
              <w:rPr>
                <w:sz w:val="20"/>
              </w:rPr>
              <w:t>R – 10%</w:t>
            </w:r>
          </w:p>
          <w:p w:rsidR="00BA1A07" w:rsidRPr="00BA1A07" w:rsidRDefault="00BA1A07" w:rsidP="003B2D2D">
            <w:pPr>
              <w:pStyle w:val="TableParagraph"/>
              <w:ind w:left="0"/>
              <w:rPr>
                <w:sz w:val="20"/>
              </w:rPr>
            </w:pPr>
            <w:r w:rsidRPr="00BA1A07">
              <w:rPr>
                <w:sz w:val="20"/>
              </w:rPr>
              <w:t>W – 10%</w:t>
            </w:r>
          </w:p>
          <w:p w:rsidR="00BA1A07" w:rsidRPr="00BA1A07" w:rsidRDefault="00BA1A07" w:rsidP="003B2D2D">
            <w:pPr>
              <w:pStyle w:val="TableParagraph"/>
              <w:ind w:left="0"/>
              <w:rPr>
                <w:sz w:val="20"/>
              </w:rPr>
            </w:pPr>
            <w:r w:rsidRPr="00BA1A07">
              <w:rPr>
                <w:sz w:val="20"/>
              </w:rPr>
              <w:t>M – 30%</w:t>
            </w:r>
          </w:p>
        </w:tc>
      </w:tr>
      <w:tr w:rsidR="00BA1A07" w:rsidTr="00BA1A07">
        <w:tc>
          <w:tcPr>
            <w:tcW w:w="2045" w:type="dxa"/>
          </w:tcPr>
          <w:p w:rsidR="00BA1A07" w:rsidRPr="00BA1A07" w:rsidRDefault="00BA1A07" w:rsidP="003B2D2D">
            <w:pPr>
              <w:pStyle w:val="TableParagraph"/>
              <w:ind w:left="0"/>
              <w:rPr>
                <w:sz w:val="20"/>
              </w:rPr>
            </w:pPr>
            <w:r w:rsidRPr="00BA1A07">
              <w:rPr>
                <w:sz w:val="20"/>
              </w:rPr>
              <w:t>Year 5</w:t>
            </w:r>
          </w:p>
        </w:tc>
        <w:tc>
          <w:tcPr>
            <w:tcW w:w="2046" w:type="dxa"/>
          </w:tcPr>
          <w:p w:rsidR="00BA1A07" w:rsidRPr="00BA1A07" w:rsidRDefault="00BA1A07" w:rsidP="003B2D2D">
            <w:pPr>
              <w:pStyle w:val="TableParagraph"/>
              <w:ind w:left="0"/>
              <w:rPr>
                <w:sz w:val="20"/>
              </w:rPr>
            </w:pPr>
            <w:r w:rsidRPr="00BA1A07">
              <w:rPr>
                <w:sz w:val="20"/>
              </w:rPr>
              <w:t>R -11%</w:t>
            </w:r>
          </w:p>
          <w:p w:rsidR="00BA1A07" w:rsidRPr="00BA1A07" w:rsidRDefault="00BA1A07" w:rsidP="003B2D2D">
            <w:pPr>
              <w:pStyle w:val="TableParagraph"/>
              <w:ind w:left="0"/>
              <w:rPr>
                <w:sz w:val="20"/>
              </w:rPr>
            </w:pPr>
            <w:r w:rsidRPr="00BA1A07">
              <w:rPr>
                <w:sz w:val="20"/>
              </w:rPr>
              <w:t>W – 11%</w:t>
            </w:r>
          </w:p>
          <w:p w:rsidR="00BA1A07" w:rsidRPr="00BA1A07" w:rsidRDefault="00BA1A07" w:rsidP="003B2D2D">
            <w:pPr>
              <w:pStyle w:val="TableParagraph"/>
              <w:ind w:left="0"/>
              <w:rPr>
                <w:sz w:val="20"/>
              </w:rPr>
            </w:pPr>
            <w:r w:rsidRPr="00BA1A07">
              <w:rPr>
                <w:sz w:val="20"/>
              </w:rPr>
              <w:t>M -0%</w:t>
            </w:r>
          </w:p>
        </w:tc>
        <w:tc>
          <w:tcPr>
            <w:tcW w:w="2046" w:type="dxa"/>
          </w:tcPr>
          <w:p w:rsidR="00BA1A07" w:rsidRPr="00BA1A07" w:rsidRDefault="00BA1A07" w:rsidP="003B2D2D">
            <w:pPr>
              <w:pStyle w:val="TableParagraph"/>
              <w:ind w:left="0"/>
              <w:rPr>
                <w:sz w:val="20"/>
              </w:rPr>
            </w:pPr>
            <w:r w:rsidRPr="00BA1A07">
              <w:rPr>
                <w:sz w:val="20"/>
              </w:rPr>
              <w:t>R – 0%</w:t>
            </w:r>
          </w:p>
          <w:p w:rsidR="00BA1A07" w:rsidRPr="00BA1A07" w:rsidRDefault="00BA1A07" w:rsidP="003B2D2D">
            <w:pPr>
              <w:pStyle w:val="TableParagraph"/>
              <w:ind w:left="0"/>
              <w:rPr>
                <w:sz w:val="20"/>
              </w:rPr>
            </w:pPr>
            <w:r w:rsidRPr="00BA1A07">
              <w:rPr>
                <w:sz w:val="20"/>
              </w:rPr>
              <w:t>W – 0%</w:t>
            </w:r>
          </w:p>
          <w:p w:rsidR="00BA1A07" w:rsidRPr="00BA1A07" w:rsidRDefault="00BA1A07" w:rsidP="003B2D2D">
            <w:pPr>
              <w:pStyle w:val="TableParagraph"/>
              <w:ind w:left="0"/>
              <w:rPr>
                <w:sz w:val="20"/>
              </w:rPr>
            </w:pPr>
            <w:r w:rsidRPr="00BA1A07">
              <w:rPr>
                <w:sz w:val="20"/>
              </w:rPr>
              <w:t>M – 0%</w:t>
            </w:r>
          </w:p>
        </w:tc>
      </w:tr>
      <w:tr w:rsidR="00BA1A07" w:rsidTr="00BA1A07">
        <w:tc>
          <w:tcPr>
            <w:tcW w:w="2045" w:type="dxa"/>
          </w:tcPr>
          <w:p w:rsidR="00BA1A07" w:rsidRPr="00BA1A07" w:rsidRDefault="00BA1A07" w:rsidP="003B2D2D">
            <w:pPr>
              <w:pStyle w:val="TableParagraph"/>
              <w:ind w:left="0"/>
              <w:rPr>
                <w:sz w:val="20"/>
              </w:rPr>
            </w:pPr>
            <w:r w:rsidRPr="00BA1A07">
              <w:rPr>
                <w:sz w:val="20"/>
              </w:rPr>
              <w:t>Year 6</w:t>
            </w:r>
          </w:p>
        </w:tc>
        <w:tc>
          <w:tcPr>
            <w:tcW w:w="2046" w:type="dxa"/>
          </w:tcPr>
          <w:p w:rsidR="00BA1A07" w:rsidRPr="00BA1A07" w:rsidRDefault="00BA1A07" w:rsidP="003B2D2D">
            <w:pPr>
              <w:pStyle w:val="TableParagraph"/>
              <w:ind w:left="0"/>
              <w:rPr>
                <w:sz w:val="20"/>
              </w:rPr>
            </w:pPr>
            <w:r w:rsidRPr="00BA1A07">
              <w:rPr>
                <w:sz w:val="20"/>
              </w:rPr>
              <w:t>R – 33%</w:t>
            </w:r>
          </w:p>
          <w:p w:rsidR="00BA1A07" w:rsidRPr="00BA1A07" w:rsidRDefault="00BA1A07" w:rsidP="003B2D2D">
            <w:pPr>
              <w:pStyle w:val="TableParagraph"/>
              <w:ind w:left="0"/>
              <w:rPr>
                <w:sz w:val="20"/>
              </w:rPr>
            </w:pPr>
            <w:r w:rsidRPr="00BA1A07">
              <w:rPr>
                <w:sz w:val="20"/>
              </w:rPr>
              <w:t>W – 33%</w:t>
            </w:r>
          </w:p>
          <w:p w:rsidR="00BA1A07" w:rsidRPr="00BA1A07" w:rsidRDefault="00BA1A07" w:rsidP="003B2D2D">
            <w:pPr>
              <w:pStyle w:val="TableParagraph"/>
              <w:ind w:left="0"/>
              <w:rPr>
                <w:sz w:val="20"/>
              </w:rPr>
            </w:pPr>
            <w:r w:rsidRPr="00BA1A07">
              <w:rPr>
                <w:sz w:val="20"/>
              </w:rPr>
              <w:t>M – 33%</w:t>
            </w:r>
          </w:p>
        </w:tc>
        <w:tc>
          <w:tcPr>
            <w:tcW w:w="2046" w:type="dxa"/>
          </w:tcPr>
          <w:p w:rsidR="00BA1A07" w:rsidRPr="00BA1A07" w:rsidRDefault="00BA1A07" w:rsidP="003B2D2D">
            <w:pPr>
              <w:pStyle w:val="TableParagraph"/>
              <w:ind w:left="0"/>
              <w:rPr>
                <w:sz w:val="20"/>
              </w:rPr>
            </w:pPr>
            <w:r w:rsidRPr="00BA1A07">
              <w:rPr>
                <w:sz w:val="20"/>
              </w:rPr>
              <w:t>R – 20%</w:t>
            </w:r>
          </w:p>
          <w:p w:rsidR="00BA1A07" w:rsidRPr="00BA1A07" w:rsidRDefault="00BA1A07" w:rsidP="003B2D2D">
            <w:pPr>
              <w:pStyle w:val="TableParagraph"/>
              <w:ind w:left="0"/>
              <w:rPr>
                <w:sz w:val="20"/>
              </w:rPr>
            </w:pPr>
            <w:r w:rsidRPr="00BA1A07">
              <w:rPr>
                <w:sz w:val="20"/>
              </w:rPr>
              <w:t>W – 20%</w:t>
            </w:r>
          </w:p>
          <w:p w:rsidR="00BA1A07" w:rsidRPr="00BA1A07" w:rsidRDefault="00BA1A07" w:rsidP="003B2D2D">
            <w:pPr>
              <w:pStyle w:val="TableParagraph"/>
              <w:ind w:left="0"/>
              <w:rPr>
                <w:sz w:val="20"/>
              </w:rPr>
            </w:pPr>
            <w:r w:rsidRPr="00BA1A07">
              <w:rPr>
                <w:sz w:val="20"/>
              </w:rPr>
              <w:t>M – 20%</w:t>
            </w:r>
          </w:p>
        </w:tc>
      </w:tr>
    </w:tbl>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Default="00BA1A07" w:rsidP="00F32520">
      <w:pPr>
        <w:tabs>
          <w:tab w:val="left" w:pos="1056"/>
          <w:tab w:val="left" w:pos="9885"/>
        </w:tabs>
      </w:pPr>
    </w:p>
    <w:p w:rsidR="00BA1A07" w:rsidRPr="00BA1A07" w:rsidRDefault="00BA1A07" w:rsidP="00BA1A07">
      <w:pPr>
        <w:tabs>
          <w:tab w:val="left" w:pos="1056"/>
          <w:tab w:val="left" w:pos="9885"/>
        </w:tabs>
        <w:ind w:left="360"/>
      </w:pPr>
    </w:p>
    <w:p w:rsidR="00BA1A07" w:rsidRDefault="00BA1A07" w:rsidP="00F32520">
      <w:pPr>
        <w:tabs>
          <w:tab w:val="left" w:pos="1056"/>
          <w:tab w:val="left" w:pos="9885"/>
        </w:tabs>
      </w:pPr>
    </w:p>
    <w:sectPr w:rsidR="00BA1A07" w:rsidSect="0074352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F6F5D"/>
    <w:multiLevelType w:val="hybridMultilevel"/>
    <w:tmpl w:val="2676E0F0"/>
    <w:lvl w:ilvl="0" w:tplc="0610FAF8">
      <w:numFmt w:val="bullet"/>
      <w:lvlText w:val=""/>
      <w:lvlJc w:val="left"/>
      <w:pPr>
        <w:ind w:left="823" w:hanging="360"/>
      </w:pPr>
      <w:rPr>
        <w:rFonts w:ascii="Wingdings" w:eastAsia="Wingdings" w:hAnsi="Wingdings" w:cs="Wingdings" w:hint="default"/>
        <w:color w:val="0D0D0D"/>
        <w:w w:val="100"/>
        <w:sz w:val="24"/>
        <w:szCs w:val="24"/>
      </w:rPr>
    </w:lvl>
    <w:lvl w:ilvl="1" w:tplc="A336FB4E">
      <w:numFmt w:val="bullet"/>
      <w:lvlText w:val="•"/>
      <w:lvlJc w:val="left"/>
      <w:pPr>
        <w:ind w:left="1785" w:hanging="360"/>
      </w:pPr>
      <w:rPr>
        <w:rFonts w:hint="default"/>
      </w:rPr>
    </w:lvl>
    <w:lvl w:ilvl="2" w:tplc="81C49BF6">
      <w:numFmt w:val="bullet"/>
      <w:lvlText w:val="•"/>
      <w:lvlJc w:val="left"/>
      <w:pPr>
        <w:ind w:left="2751" w:hanging="360"/>
      </w:pPr>
      <w:rPr>
        <w:rFonts w:hint="default"/>
      </w:rPr>
    </w:lvl>
    <w:lvl w:ilvl="3" w:tplc="A77CC6F2">
      <w:numFmt w:val="bullet"/>
      <w:lvlText w:val="•"/>
      <w:lvlJc w:val="left"/>
      <w:pPr>
        <w:ind w:left="3717" w:hanging="360"/>
      </w:pPr>
      <w:rPr>
        <w:rFonts w:hint="default"/>
      </w:rPr>
    </w:lvl>
    <w:lvl w:ilvl="4" w:tplc="B302F7B2">
      <w:numFmt w:val="bullet"/>
      <w:lvlText w:val="•"/>
      <w:lvlJc w:val="left"/>
      <w:pPr>
        <w:ind w:left="4683" w:hanging="360"/>
      </w:pPr>
      <w:rPr>
        <w:rFonts w:hint="default"/>
      </w:rPr>
    </w:lvl>
    <w:lvl w:ilvl="5" w:tplc="1F346C92">
      <w:numFmt w:val="bullet"/>
      <w:lvlText w:val="•"/>
      <w:lvlJc w:val="left"/>
      <w:pPr>
        <w:ind w:left="5649" w:hanging="360"/>
      </w:pPr>
      <w:rPr>
        <w:rFonts w:hint="default"/>
      </w:rPr>
    </w:lvl>
    <w:lvl w:ilvl="6" w:tplc="7C3202FA">
      <w:numFmt w:val="bullet"/>
      <w:lvlText w:val="•"/>
      <w:lvlJc w:val="left"/>
      <w:pPr>
        <w:ind w:left="6615" w:hanging="360"/>
      </w:pPr>
      <w:rPr>
        <w:rFonts w:hint="default"/>
      </w:rPr>
    </w:lvl>
    <w:lvl w:ilvl="7" w:tplc="97620D50">
      <w:numFmt w:val="bullet"/>
      <w:lvlText w:val="•"/>
      <w:lvlJc w:val="left"/>
      <w:pPr>
        <w:ind w:left="7581" w:hanging="360"/>
      </w:pPr>
      <w:rPr>
        <w:rFonts w:hint="default"/>
      </w:rPr>
    </w:lvl>
    <w:lvl w:ilvl="8" w:tplc="3266CD06">
      <w:numFmt w:val="bullet"/>
      <w:lvlText w:val="•"/>
      <w:lvlJc w:val="left"/>
      <w:pPr>
        <w:ind w:left="8547" w:hanging="360"/>
      </w:pPr>
      <w:rPr>
        <w:rFonts w:hint="default"/>
      </w:rPr>
    </w:lvl>
  </w:abstractNum>
  <w:abstractNum w:abstractNumId="1" w15:restartNumberingAfterBreak="0">
    <w:nsid w:val="3E6E4426"/>
    <w:multiLevelType w:val="hybridMultilevel"/>
    <w:tmpl w:val="727A3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2343EB"/>
    <w:multiLevelType w:val="hybridMultilevel"/>
    <w:tmpl w:val="957EAEAE"/>
    <w:lvl w:ilvl="0" w:tplc="C22EFA78">
      <w:numFmt w:val="bullet"/>
      <w:lvlText w:val=""/>
      <w:lvlJc w:val="left"/>
      <w:pPr>
        <w:ind w:left="823" w:hanging="360"/>
      </w:pPr>
      <w:rPr>
        <w:rFonts w:ascii="Wingdings" w:eastAsia="Wingdings" w:hAnsi="Wingdings" w:cs="Wingdings" w:hint="default"/>
        <w:color w:val="0D0D0D"/>
        <w:w w:val="100"/>
        <w:sz w:val="24"/>
        <w:szCs w:val="24"/>
      </w:rPr>
    </w:lvl>
    <w:lvl w:ilvl="1" w:tplc="82D00366">
      <w:numFmt w:val="bullet"/>
      <w:lvlText w:val="•"/>
      <w:lvlJc w:val="left"/>
      <w:pPr>
        <w:ind w:left="1785" w:hanging="360"/>
      </w:pPr>
      <w:rPr>
        <w:rFonts w:hint="default"/>
      </w:rPr>
    </w:lvl>
    <w:lvl w:ilvl="2" w:tplc="BB52BC72">
      <w:numFmt w:val="bullet"/>
      <w:lvlText w:val="•"/>
      <w:lvlJc w:val="left"/>
      <w:pPr>
        <w:ind w:left="2751" w:hanging="360"/>
      </w:pPr>
      <w:rPr>
        <w:rFonts w:hint="default"/>
      </w:rPr>
    </w:lvl>
    <w:lvl w:ilvl="3" w:tplc="DF2048B8">
      <w:numFmt w:val="bullet"/>
      <w:lvlText w:val="•"/>
      <w:lvlJc w:val="left"/>
      <w:pPr>
        <w:ind w:left="3717" w:hanging="360"/>
      </w:pPr>
      <w:rPr>
        <w:rFonts w:hint="default"/>
      </w:rPr>
    </w:lvl>
    <w:lvl w:ilvl="4" w:tplc="1FC2CCA2">
      <w:numFmt w:val="bullet"/>
      <w:lvlText w:val="•"/>
      <w:lvlJc w:val="left"/>
      <w:pPr>
        <w:ind w:left="4683" w:hanging="360"/>
      </w:pPr>
      <w:rPr>
        <w:rFonts w:hint="default"/>
      </w:rPr>
    </w:lvl>
    <w:lvl w:ilvl="5" w:tplc="0AE8DAA0">
      <w:numFmt w:val="bullet"/>
      <w:lvlText w:val="•"/>
      <w:lvlJc w:val="left"/>
      <w:pPr>
        <w:ind w:left="5649" w:hanging="360"/>
      </w:pPr>
      <w:rPr>
        <w:rFonts w:hint="default"/>
      </w:rPr>
    </w:lvl>
    <w:lvl w:ilvl="6" w:tplc="B63832B4">
      <w:numFmt w:val="bullet"/>
      <w:lvlText w:val="•"/>
      <w:lvlJc w:val="left"/>
      <w:pPr>
        <w:ind w:left="6615" w:hanging="360"/>
      </w:pPr>
      <w:rPr>
        <w:rFonts w:hint="default"/>
      </w:rPr>
    </w:lvl>
    <w:lvl w:ilvl="7" w:tplc="8E36231A">
      <w:numFmt w:val="bullet"/>
      <w:lvlText w:val="•"/>
      <w:lvlJc w:val="left"/>
      <w:pPr>
        <w:ind w:left="7581" w:hanging="360"/>
      </w:pPr>
      <w:rPr>
        <w:rFonts w:hint="default"/>
      </w:rPr>
    </w:lvl>
    <w:lvl w:ilvl="8" w:tplc="E938A738">
      <w:numFmt w:val="bullet"/>
      <w:lvlText w:val="•"/>
      <w:lvlJc w:val="left"/>
      <w:pPr>
        <w:ind w:left="8547" w:hanging="360"/>
      </w:pPr>
      <w:rPr>
        <w:rFonts w:hint="default"/>
      </w:rPr>
    </w:lvl>
  </w:abstractNum>
  <w:abstractNum w:abstractNumId="3" w15:restartNumberingAfterBreak="0">
    <w:nsid w:val="54C8444B"/>
    <w:multiLevelType w:val="hybridMultilevel"/>
    <w:tmpl w:val="53125F2E"/>
    <w:lvl w:ilvl="0" w:tplc="CDA6E9CE">
      <w:numFmt w:val="bullet"/>
      <w:lvlText w:val=""/>
      <w:lvlJc w:val="left"/>
      <w:pPr>
        <w:ind w:left="823" w:hanging="360"/>
      </w:pPr>
      <w:rPr>
        <w:rFonts w:ascii="Wingdings" w:eastAsia="Wingdings" w:hAnsi="Wingdings" w:cs="Wingdings" w:hint="default"/>
        <w:color w:val="0D0D0D"/>
        <w:w w:val="100"/>
        <w:sz w:val="24"/>
        <w:szCs w:val="24"/>
      </w:rPr>
    </w:lvl>
    <w:lvl w:ilvl="1" w:tplc="01AA209E">
      <w:numFmt w:val="bullet"/>
      <w:lvlText w:val="•"/>
      <w:lvlJc w:val="left"/>
      <w:pPr>
        <w:ind w:left="1785" w:hanging="360"/>
      </w:pPr>
      <w:rPr>
        <w:rFonts w:hint="default"/>
      </w:rPr>
    </w:lvl>
    <w:lvl w:ilvl="2" w:tplc="9156009A">
      <w:numFmt w:val="bullet"/>
      <w:lvlText w:val="•"/>
      <w:lvlJc w:val="left"/>
      <w:pPr>
        <w:ind w:left="2751" w:hanging="360"/>
      </w:pPr>
      <w:rPr>
        <w:rFonts w:hint="default"/>
      </w:rPr>
    </w:lvl>
    <w:lvl w:ilvl="3" w:tplc="8264C57C">
      <w:numFmt w:val="bullet"/>
      <w:lvlText w:val="•"/>
      <w:lvlJc w:val="left"/>
      <w:pPr>
        <w:ind w:left="3717" w:hanging="360"/>
      </w:pPr>
      <w:rPr>
        <w:rFonts w:hint="default"/>
      </w:rPr>
    </w:lvl>
    <w:lvl w:ilvl="4" w:tplc="B1024D98">
      <w:numFmt w:val="bullet"/>
      <w:lvlText w:val="•"/>
      <w:lvlJc w:val="left"/>
      <w:pPr>
        <w:ind w:left="4683" w:hanging="360"/>
      </w:pPr>
      <w:rPr>
        <w:rFonts w:hint="default"/>
      </w:rPr>
    </w:lvl>
    <w:lvl w:ilvl="5" w:tplc="4E5A46EE">
      <w:numFmt w:val="bullet"/>
      <w:lvlText w:val="•"/>
      <w:lvlJc w:val="left"/>
      <w:pPr>
        <w:ind w:left="5649" w:hanging="360"/>
      </w:pPr>
      <w:rPr>
        <w:rFonts w:hint="default"/>
      </w:rPr>
    </w:lvl>
    <w:lvl w:ilvl="6" w:tplc="7AAA3DB2">
      <w:numFmt w:val="bullet"/>
      <w:lvlText w:val="•"/>
      <w:lvlJc w:val="left"/>
      <w:pPr>
        <w:ind w:left="6615" w:hanging="360"/>
      </w:pPr>
      <w:rPr>
        <w:rFonts w:hint="default"/>
      </w:rPr>
    </w:lvl>
    <w:lvl w:ilvl="7" w:tplc="3D7E81C8">
      <w:numFmt w:val="bullet"/>
      <w:lvlText w:val="•"/>
      <w:lvlJc w:val="left"/>
      <w:pPr>
        <w:ind w:left="7581" w:hanging="360"/>
      </w:pPr>
      <w:rPr>
        <w:rFonts w:hint="default"/>
      </w:rPr>
    </w:lvl>
    <w:lvl w:ilvl="8" w:tplc="374CC000">
      <w:numFmt w:val="bullet"/>
      <w:lvlText w:val="•"/>
      <w:lvlJc w:val="left"/>
      <w:pPr>
        <w:ind w:left="8547" w:hanging="360"/>
      </w:pPr>
      <w:rPr>
        <w:rFonts w:hint="default"/>
      </w:rPr>
    </w:lvl>
  </w:abstractNum>
  <w:abstractNum w:abstractNumId="4" w15:restartNumberingAfterBreak="0">
    <w:nsid w:val="5529454F"/>
    <w:multiLevelType w:val="hybridMultilevel"/>
    <w:tmpl w:val="72D6FD9E"/>
    <w:lvl w:ilvl="0" w:tplc="FFFFFFFF">
      <w:numFmt w:val="bullet"/>
      <w:lvlText w:val=""/>
      <w:lvlJc w:val="left"/>
      <w:pPr>
        <w:ind w:left="823" w:hanging="360"/>
      </w:pPr>
      <w:rPr>
        <w:rFonts w:ascii="Wingdings" w:hAnsi="Wingdings" w:hint="default"/>
        <w:color w:val="0D0D0D"/>
        <w:w w:val="100"/>
        <w:sz w:val="24"/>
        <w:szCs w:val="24"/>
      </w:rPr>
    </w:lvl>
    <w:lvl w:ilvl="1" w:tplc="F11ED4D0">
      <w:numFmt w:val="bullet"/>
      <w:lvlText w:val="•"/>
      <w:lvlJc w:val="left"/>
      <w:pPr>
        <w:ind w:left="1785" w:hanging="360"/>
      </w:pPr>
      <w:rPr>
        <w:rFonts w:hint="default"/>
      </w:rPr>
    </w:lvl>
    <w:lvl w:ilvl="2" w:tplc="D618FA84">
      <w:numFmt w:val="bullet"/>
      <w:lvlText w:val="•"/>
      <w:lvlJc w:val="left"/>
      <w:pPr>
        <w:ind w:left="2751" w:hanging="360"/>
      </w:pPr>
      <w:rPr>
        <w:rFonts w:hint="default"/>
      </w:rPr>
    </w:lvl>
    <w:lvl w:ilvl="3" w:tplc="242E4D20">
      <w:numFmt w:val="bullet"/>
      <w:lvlText w:val="•"/>
      <w:lvlJc w:val="left"/>
      <w:pPr>
        <w:ind w:left="3717" w:hanging="360"/>
      </w:pPr>
      <w:rPr>
        <w:rFonts w:hint="default"/>
      </w:rPr>
    </w:lvl>
    <w:lvl w:ilvl="4" w:tplc="40D0FBC0">
      <w:numFmt w:val="bullet"/>
      <w:lvlText w:val="•"/>
      <w:lvlJc w:val="left"/>
      <w:pPr>
        <w:ind w:left="4683" w:hanging="360"/>
      </w:pPr>
      <w:rPr>
        <w:rFonts w:hint="default"/>
      </w:rPr>
    </w:lvl>
    <w:lvl w:ilvl="5" w:tplc="8F24C068">
      <w:numFmt w:val="bullet"/>
      <w:lvlText w:val="•"/>
      <w:lvlJc w:val="left"/>
      <w:pPr>
        <w:ind w:left="5649" w:hanging="360"/>
      </w:pPr>
      <w:rPr>
        <w:rFonts w:hint="default"/>
      </w:rPr>
    </w:lvl>
    <w:lvl w:ilvl="6" w:tplc="EC3C649E">
      <w:numFmt w:val="bullet"/>
      <w:lvlText w:val="•"/>
      <w:lvlJc w:val="left"/>
      <w:pPr>
        <w:ind w:left="6615" w:hanging="360"/>
      </w:pPr>
      <w:rPr>
        <w:rFonts w:hint="default"/>
      </w:rPr>
    </w:lvl>
    <w:lvl w:ilvl="7" w:tplc="571AF28C">
      <w:numFmt w:val="bullet"/>
      <w:lvlText w:val="•"/>
      <w:lvlJc w:val="left"/>
      <w:pPr>
        <w:ind w:left="7581" w:hanging="360"/>
      </w:pPr>
      <w:rPr>
        <w:rFonts w:hint="default"/>
      </w:rPr>
    </w:lvl>
    <w:lvl w:ilvl="8" w:tplc="83722EB8">
      <w:numFmt w:val="bullet"/>
      <w:lvlText w:val="•"/>
      <w:lvlJc w:val="left"/>
      <w:pPr>
        <w:ind w:left="8547" w:hanging="360"/>
      </w:pPr>
      <w:rPr>
        <w:rFonts w:hint="default"/>
      </w:rPr>
    </w:lvl>
  </w:abstractNum>
  <w:abstractNum w:abstractNumId="5" w15:restartNumberingAfterBreak="0">
    <w:nsid w:val="75243245"/>
    <w:multiLevelType w:val="hybridMultilevel"/>
    <w:tmpl w:val="9DB80668"/>
    <w:lvl w:ilvl="0" w:tplc="0D56E4E0">
      <w:numFmt w:val="bullet"/>
      <w:lvlText w:val=""/>
      <w:lvlJc w:val="left"/>
      <w:pPr>
        <w:ind w:left="823" w:hanging="360"/>
      </w:pPr>
      <w:rPr>
        <w:rFonts w:ascii="Wingdings" w:eastAsia="Wingdings" w:hAnsi="Wingdings" w:cs="Wingdings" w:hint="default"/>
        <w:color w:val="0D0D0D"/>
        <w:w w:val="100"/>
        <w:sz w:val="24"/>
        <w:szCs w:val="24"/>
      </w:rPr>
    </w:lvl>
    <w:lvl w:ilvl="1" w:tplc="1F3EEE04">
      <w:numFmt w:val="bullet"/>
      <w:lvlText w:val="•"/>
      <w:lvlJc w:val="left"/>
      <w:pPr>
        <w:ind w:left="1785" w:hanging="360"/>
      </w:pPr>
      <w:rPr>
        <w:rFonts w:hint="default"/>
      </w:rPr>
    </w:lvl>
    <w:lvl w:ilvl="2" w:tplc="A8624516">
      <w:numFmt w:val="bullet"/>
      <w:lvlText w:val="•"/>
      <w:lvlJc w:val="left"/>
      <w:pPr>
        <w:ind w:left="2751" w:hanging="360"/>
      </w:pPr>
      <w:rPr>
        <w:rFonts w:hint="default"/>
      </w:rPr>
    </w:lvl>
    <w:lvl w:ilvl="3" w:tplc="B43AA050">
      <w:numFmt w:val="bullet"/>
      <w:lvlText w:val="•"/>
      <w:lvlJc w:val="left"/>
      <w:pPr>
        <w:ind w:left="3717" w:hanging="360"/>
      </w:pPr>
      <w:rPr>
        <w:rFonts w:hint="default"/>
      </w:rPr>
    </w:lvl>
    <w:lvl w:ilvl="4" w:tplc="96641FF0">
      <w:numFmt w:val="bullet"/>
      <w:lvlText w:val="•"/>
      <w:lvlJc w:val="left"/>
      <w:pPr>
        <w:ind w:left="4683" w:hanging="360"/>
      </w:pPr>
      <w:rPr>
        <w:rFonts w:hint="default"/>
      </w:rPr>
    </w:lvl>
    <w:lvl w:ilvl="5" w:tplc="ACDE4C96">
      <w:numFmt w:val="bullet"/>
      <w:lvlText w:val="•"/>
      <w:lvlJc w:val="left"/>
      <w:pPr>
        <w:ind w:left="5649" w:hanging="360"/>
      </w:pPr>
      <w:rPr>
        <w:rFonts w:hint="default"/>
      </w:rPr>
    </w:lvl>
    <w:lvl w:ilvl="6" w:tplc="94A4EC26">
      <w:numFmt w:val="bullet"/>
      <w:lvlText w:val="•"/>
      <w:lvlJc w:val="left"/>
      <w:pPr>
        <w:ind w:left="6615" w:hanging="360"/>
      </w:pPr>
      <w:rPr>
        <w:rFonts w:hint="default"/>
      </w:rPr>
    </w:lvl>
    <w:lvl w:ilvl="7" w:tplc="28EC3964">
      <w:numFmt w:val="bullet"/>
      <w:lvlText w:val="•"/>
      <w:lvlJc w:val="left"/>
      <w:pPr>
        <w:ind w:left="7581" w:hanging="360"/>
      </w:pPr>
      <w:rPr>
        <w:rFonts w:hint="default"/>
      </w:rPr>
    </w:lvl>
    <w:lvl w:ilvl="8" w:tplc="FCB2F0BA">
      <w:numFmt w:val="bullet"/>
      <w:lvlText w:val="•"/>
      <w:lvlJc w:val="left"/>
      <w:pPr>
        <w:ind w:left="8547" w:hanging="360"/>
      </w:pPr>
      <w:rPr>
        <w:rFonts w:hint="default"/>
      </w:rPr>
    </w:lvl>
  </w:abstractNum>
  <w:abstractNum w:abstractNumId="6" w15:restartNumberingAfterBreak="0">
    <w:nsid w:val="7FBC2264"/>
    <w:multiLevelType w:val="hybridMultilevel"/>
    <w:tmpl w:val="FF307D1C"/>
    <w:lvl w:ilvl="0" w:tplc="02421A48">
      <w:numFmt w:val="bullet"/>
      <w:lvlText w:val=""/>
      <w:lvlJc w:val="left"/>
      <w:pPr>
        <w:ind w:left="823" w:hanging="360"/>
      </w:pPr>
      <w:rPr>
        <w:rFonts w:ascii="Wingdings" w:eastAsia="Wingdings" w:hAnsi="Wingdings" w:cs="Wingdings" w:hint="default"/>
        <w:color w:val="0D0D0D"/>
        <w:w w:val="100"/>
        <w:sz w:val="24"/>
        <w:szCs w:val="24"/>
      </w:rPr>
    </w:lvl>
    <w:lvl w:ilvl="1" w:tplc="C2421238">
      <w:numFmt w:val="bullet"/>
      <w:lvlText w:val="•"/>
      <w:lvlJc w:val="left"/>
      <w:pPr>
        <w:ind w:left="1785" w:hanging="360"/>
      </w:pPr>
      <w:rPr>
        <w:rFonts w:hint="default"/>
      </w:rPr>
    </w:lvl>
    <w:lvl w:ilvl="2" w:tplc="41746D08">
      <w:numFmt w:val="bullet"/>
      <w:lvlText w:val="•"/>
      <w:lvlJc w:val="left"/>
      <w:pPr>
        <w:ind w:left="2751" w:hanging="360"/>
      </w:pPr>
      <w:rPr>
        <w:rFonts w:hint="default"/>
      </w:rPr>
    </w:lvl>
    <w:lvl w:ilvl="3" w:tplc="4426EBDE">
      <w:numFmt w:val="bullet"/>
      <w:lvlText w:val="•"/>
      <w:lvlJc w:val="left"/>
      <w:pPr>
        <w:ind w:left="3717" w:hanging="360"/>
      </w:pPr>
      <w:rPr>
        <w:rFonts w:hint="default"/>
      </w:rPr>
    </w:lvl>
    <w:lvl w:ilvl="4" w:tplc="46209EBC">
      <w:numFmt w:val="bullet"/>
      <w:lvlText w:val="•"/>
      <w:lvlJc w:val="left"/>
      <w:pPr>
        <w:ind w:left="4683" w:hanging="360"/>
      </w:pPr>
      <w:rPr>
        <w:rFonts w:hint="default"/>
      </w:rPr>
    </w:lvl>
    <w:lvl w:ilvl="5" w:tplc="22742D8E">
      <w:numFmt w:val="bullet"/>
      <w:lvlText w:val="•"/>
      <w:lvlJc w:val="left"/>
      <w:pPr>
        <w:ind w:left="5649" w:hanging="360"/>
      </w:pPr>
      <w:rPr>
        <w:rFonts w:hint="default"/>
      </w:rPr>
    </w:lvl>
    <w:lvl w:ilvl="6" w:tplc="18526836">
      <w:numFmt w:val="bullet"/>
      <w:lvlText w:val="•"/>
      <w:lvlJc w:val="left"/>
      <w:pPr>
        <w:ind w:left="6615" w:hanging="360"/>
      </w:pPr>
      <w:rPr>
        <w:rFonts w:hint="default"/>
      </w:rPr>
    </w:lvl>
    <w:lvl w:ilvl="7" w:tplc="7A883B20">
      <w:numFmt w:val="bullet"/>
      <w:lvlText w:val="•"/>
      <w:lvlJc w:val="left"/>
      <w:pPr>
        <w:ind w:left="7581" w:hanging="360"/>
      </w:pPr>
      <w:rPr>
        <w:rFonts w:hint="default"/>
      </w:rPr>
    </w:lvl>
    <w:lvl w:ilvl="8" w:tplc="C994AD38">
      <w:numFmt w:val="bullet"/>
      <w:lvlText w:val="•"/>
      <w:lvlJc w:val="left"/>
      <w:pPr>
        <w:ind w:left="8547" w:hanging="360"/>
      </w:pPr>
      <w:rPr>
        <w:rFonts w:hint="default"/>
      </w:rPr>
    </w:lvl>
  </w:abstractNum>
  <w:num w:numId="1">
    <w:abstractNumId w:val="6"/>
  </w:num>
  <w:num w:numId="2">
    <w:abstractNumId w:val="3"/>
  </w:num>
  <w:num w:numId="3">
    <w:abstractNumId w:val="0"/>
  </w:num>
  <w:num w:numId="4">
    <w:abstractNumId w:val="5"/>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52E"/>
    <w:rsid w:val="000738AF"/>
    <w:rsid w:val="000C1184"/>
    <w:rsid w:val="001F2E07"/>
    <w:rsid w:val="00276D91"/>
    <w:rsid w:val="003F0C7F"/>
    <w:rsid w:val="006100F6"/>
    <w:rsid w:val="00704F98"/>
    <w:rsid w:val="00710B9E"/>
    <w:rsid w:val="0074352E"/>
    <w:rsid w:val="008C168A"/>
    <w:rsid w:val="00A72C4B"/>
    <w:rsid w:val="00BA1A07"/>
    <w:rsid w:val="00BB0747"/>
    <w:rsid w:val="00D740D5"/>
    <w:rsid w:val="00E861F9"/>
    <w:rsid w:val="00EB5606"/>
    <w:rsid w:val="00EC7141"/>
    <w:rsid w:val="00F32520"/>
    <w:rsid w:val="00F9495D"/>
    <w:rsid w:val="00FC6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2C586"/>
  <w15:chartTrackingRefBased/>
  <w15:docId w15:val="{602893AE-3962-4635-AB2E-E89FD84D8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4352E"/>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52E"/>
    <w:pPr>
      <w:spacing w:before="53"/>
      <w:ind w:left="102"/>
    </w:pPr>
  </w:style>
  <w:style w:type="table" w:styleId="TableGrid">
    <w:name w:val="Table Grid"/>
    <w:basedOn w:val="TableNormal"/>
    <w:uiPriority w:val="39"/>
    <w:rsid w:val="0074352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6CB8"/>
    <w:rPr>
      <w:rFonts w:ascii="Segoe UI" w:hAnsi="Segoe UI"/>
      <w:sz w:val="18"/>
      <w:szCs w:val="18"/>
    </w:rPr>
  </w:style>
  <w:style w:type="character" w:customStyle="1" w:styleId="BalloonTextChar">
    <w:name w:val="Balloon Text Char"/>
    <w:basedOn w:val="DefaultParagraphFont"/>
    <w:link w:val="BalloonText"/>
    <w:uiPriority w:val="99"/>
    <w:semiHidden/>
    <w:rsid w:val="00FC6CB8"/>
    <w:rPr>
      <w:rFonts w:ascii="Segoe UI" w:eastAsia="Arial" w:hAnsi="Segoe UI" w:cs="Arial"/>
      <w:sz w:val="18"/>
      <w:szCs w:val="18"/>
      <w:lang w:val="en-US"/>
    </w:rPr>
  </w:style>
  <w:style w:type="paragraph" w:styleId="NormalWeb">
    <w:name w:val="Normal (Web)"/>
    <w:basedOn w:val="Normal"/>
    <w:uiPriority w:val="99"/>
    <w:unhideWhenUsed/>
    <w:rsid w:val="00BA1A0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BA1A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59684">
      <w:bodyDiv w:val="1"/>
      <w:marLeft w:val="0"/>
      <w:marRight w:val="0"/>
      <w:marTop w:val="0"/>
      <w:marBottom w:val="0"/>
      <w:divBdr>
        <w:top w:val="none" w:sz="0" w:space="0" w:color="auto"/>
        <w:left w:val="none" w:sz="0" w:space="0" w:color="auto"/>
        <w:bottom w:val="none" w:sz="0" w:space="0" w:color="auto"/>
        <w:right w:val="none" w:sz="0" w:space="0" w:color="auto"/>
      </w:divBdr>
    </w:div>
    <w:div w:id="1456825517">
      <w:bodyDiv w:val="1"/>
      <w:marLeft w:val="0"/>
      <w:marRight w:val="0"/>
      <w:marTop w:val="0"/>
      <w:marBottom w:val="0"/>
      <w:divBdr>
        <w:top w:val="none" w:sz="0" w:space="0" w:color="auto"/>
        <w:left w:val="none" w:sz="0" w:space="0" w:color="auto"/>
        <w:bottom w:val="none" w:sz="0" w:space="0" w:color="auto"/>
        <w:right w:val="none" w:sz="0" w:space="0" w:color="auto"/>
      </w:divBdr>
    </w:div>
    <w:div w:id="1885822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5" b="1" i="0" u="none" strike="noStrike" kern="1200" cap="all" spc="120" normalizeH="0" baseline="0">
                <a:solidFill>
                  <a:schemeClr val="tx1">
                    <a:lumMod val="65000"/>
                    <a:lumOff val="35000"/>
                  </a:schemeClr>
                </a:solidFill>
                <a:latin typeface="+mn-lt"/>
                <a:ea typeface="+mn-ea"/>
                <a:cs typeface="+mn-cs"/>
              </a:defRPr>
            </a:pPr>
            <a:r>
              <a:rPr lang="en-GB"/>
              <a:t>Reading</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PP</c:v>
                </c:pt>
              </c:strCache>
            </c:strRef>
          </c:tx>
          <c:spPr>
            <a:solidFill>
              <a:srgbClr val="FF006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10chd</c:v>
                </c:pt>
                <c:pt idx="1">
                  <c:v>Year 2 7chd</c:v>
                </c:pt>
                <c:pt idx="2">
                  <c:v>Year 3 10chd</c:v>
                </c:pt>
                <c:pt idx="3">
                  <c:v>Year 4 10chd</c:v>
                </c:pt>
                <c:pt idx="4">
                  <c:v>Year 5 9chd</c:v>
                </c:pt>
                <c:pt idx="5">
                  <c:v>Year 6 10chd</c:v>
                </c:pt>
              </c:strCache>
            </c:strRef>
          </c:cat>
          <c:val>
            <c:numRef>
              <c:f>Sheet1!$B$2:$B$7</c:f>
              <c:numCache>
                <c:formatCode>0%</c:formatCode>
                <c:ptCount val="6"/>
                <c:pt idx="0">
                  <c:v>0.7</c:v>
                </c:pt>
                <c:pt idx="1">
                  <c:v>0.56999999999999995</c:v>
                </c:pt>
                <c:pt idx="2">
                  <c:v>0.8</c:v>
                </c:pt>
                <c:pt idx="3">
                  <c:v>0.9</c:v>
                </c:pt>
                <c:pt idx="4">
                  <c:v>0.56000000000000005</c:v>
                </c:pt>
                <c:pt idx="5">
                  <c:v>0.5</c:v>
                </c:pt>
              </c:numCache>
            </c:numRef>
          </c:val>
          <c:extLst>
            <c:ext xmlns:c16="http://schemas.microsoft.com/office/drawing/2014/chart" uri="{C3380CC4-5D6E-409C-BE32-E72D297353CC}">
              <c16:uniqueId val="{00000000-1327-49EB-9D9D-D66DA65D1C8E}"/>
            </c:ext>
          </c:extLst>
        </c:ser>
        <c:ser>
          <c:idx val="1"/>
          <c:order val="1"/>
          <c:tx>
            <c:strRef>
              <c:f>Sheet1!$C$1</c:f>
              <c:strCache>
                <c:ptCount val="1"/>
                <c:pt idx="0">
                  <c:v>PP target</c:v>
                </c:pt>
              </c:strCache>
            </c:strRef>
          </c:tx>
          <c:spPr>
            <a:solidFill>
              <a:srgbClr val="7030A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10chd</c:v>
                </c:pt>
                <c:pt idx="1">
                  <c:v>Year 2 7chd</c:v>
                </c:pt>
                <c:pt idx="2">
                  <c:v>Year 3 10chd</c:v>
                </c:pt>
                <c:pt idx="3">
                  <c:v>Year 4 10chd</c:v>
                </c:pt>
                <c:pt idx="4">
                  <c:v>Year 5 9chd</c:v>
                </c:pt>
                <c:pt idx="5">
                  <c:v>Year 6 10chd</c:v>
                </c:pt>
              </c:strCache>
            </c:strRef>
          </c:cat>
          <c:val>
            <c:numRef>
              <c:f>Sheet1!$C$2:$C$7</c:f>
              <c:numCache>
                <c:formatCode>0%</c:formatCode>
                <c:ptCount val="6"/>
                <c:pt idx="0">
                  <c:v>0.8</c:v>
                </c:pt>
                <c:pt idx="1">
                  <c:v>0.71</c:v>
                </c:pt>
                <c:pt idx="2">
                  <c:v>0.8</c:v>
                </c:pt>
                <c:pt idx="3">
                  <c:v>0.9</c:v>
                </c:pt>
                <c:pt idx="4">
                  <c:v>0.44</c:v>
                </c:pt>
                <c:pt idx="5">
                  <c:v>0.8</c:v>
                </c:pt>
              </c:numCache>
            </c:numRef>
          </c:val>
          <c:extLst>
            <c:ext xmlns:c16="http://schemas.microsoft.com/office/drawing/2014/chart" uri="{C3380CC4-5D6E-409C-BE32-E72D297353CC}">
              <c16:uniqueId val="{00000001-1327-49EB-9D9D-D66DA65D1C8E}"/>
            </c:ext>
          </c:extLst>
        </c:ser>
        <c:ser>
          <c:idx val="2"/>
          <c:order val="2"/>
          <c:tx>
            <c:strRef>
              <c:f>Sheet1!$D$1</c:f>
              <c:strCache>
                <c:ptCount val="1"/>
                <c:pt idx="0">
                  <c:v>Non PP</c:v>
                </c:pt>
              </c:strCache>
            </c:strRef>
          </c:tx>
          <c:spPr>
            <a:solidFill>
              <a:srgbClr val="FF990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10chd</c:v>
                </c:pt>
                <c:pt idx="1">
                  <c:v>Year 2 7chd</c:v>
                </c:pt>
                <c:pt idx="2">
                  <c:v>Year 3 10chd</c:v>
                </c:pt>
                <c:pt idx="3">
                  <c:v>Year 4 10chd</c:v>
                </c:pt>
                <c:pt idx="4">
                  <c:v>Year 5 9chd</c:v>
                </c:pt>
                <c:pt idx="5">
                  <c:v>Year 6 10chd</c:v>
                </c:pt>
              </c:strCache>
            </c:strRef>
          </c:cat>
          <c:val>
            <c:numRef>
              <c:f>Sheet1!$D$2:$D$7</c:f>
              <c:numCache>
                <c:formatCode>0%</c:formatCode>
                <c:ptCount val="6"/>
                <c:pt idx="0">
                  <c:v>0.78</c:v>
                </c:pt>
                <c:pt idx="1">
                  <c:v>0.7</c:v>
                </c:pt>
                <c:pt idx="2">
                  <c:v>0.75</c:v>
                </c:pt>
                <c:pt idx="3">
                  <c:v>0.71</c:v>
                </c:pt>
                <c:pt idx="4">
                  <c:v>1</c:v>
                </c:pt>
                <c:pt idx="5">
                  <c:v>0.82</c:v>
                </c:pt>
              </c:numCache>
            </c:numRef>
          </c:val>
          <c:extLst>
            <c:ext xmlns:c16="http://schemas.microsoft.com/office/drawing/2014/chart" uri="{C3380CC4-5D6E-409C-BE32-E72D297353CC}">
              <c16:uniqueId val="{00000002-1327-49EB-9D9D-D66DA65D1C8E}"/>
            </c:ext>
          </c:extLst>
        </c:ser>
        <c:ser>
          <c:idx val="3"/>
          <c:order val="3"/>
          <c:tx>
            <c:strRef>
              <c:f>Sheet1!$E$1</c:f>
              <c:strCache>
                <c:ptCount val="1"/>
                <c:pt idx="0">
                  <c:v>Non PP target</c:v>
                </c:pt>
              </c:strCache>
            </c:strRef>
          </c:tx>
          <c:spPr>
            <a:solidFill>
              <a:srgbClr val="7030A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10chd</c:v>
                </c:pt>
                <c:pt idx="1">
                  <c:v>Year 2 7chd</c:v>
                </c:pt>
                <c:pt idx="2">
                  <c:v>Year 3 10chd</c:v>
                </c:pt>
                <c:pt idx="3">
                  <c:v>Year 4 10chd</c:v>
                </c:pt>
                <c:pt idx="4">
                  <c:v>Year 5 9chd</c:v>
                </c:pt>
                <c:pt idx="5">
                  <c:v>Year 6 10chd</c:v>
                </c:pt>
              </c:strCache>
            </c:strRef>
          </c:cat>
          <c:val>
            <c:numRef>
              <c:f>Sheet1!$E$2:$E$7</c:f>
              <c:numCache>
                <c:formatCode>0%</c:formatCode>
                <c:ptCount val="6"/>
                <c:pt idx="0">
                  <c:v>0.78</c:v>
                </c:pt>
                <c:pt idx="1">
                  <c:v>0.75</c:v>
                </c:pt>
                <c:pt idx="2">
                  <c:v>0.65</c:v>
                </c:pt>
                <c:pt idx="3">
                  <c:v>0.76</c:v>
                </c:pt>
                <c:pt idx="4">
                  <c:v>1</c:v>
                </c:pt>
                <c:pt idx="5">
                  <c:v>0.82</c:v>
                </c:pt>
              </c:numCache>
            </c:numRef>
          </c:val>
          <c:extLst>
            <c:ext xmlns:c16="http://schemas.microsoft.com/office/drawing/2014/chart" uri="{C3380CC4-5D6E-409C-BE32-E72D297353CC}">
              <c16:uniqueId val="{00000003-1327-49EB-9D9D-D66DA65D1C8E}"/>
            </c:ext>
          </c:extLst>
        </c:ser>
        <c:dLbls>
          <c:showLegendKey val="0"/>
          <c:showVal val="0"/>
          <c:showCatName val="0"/>
          <c:showSerName val="0"/>
          <c:showPercent val="0"/>
          <c:showBubbleSize val="0"/>
        </c:dLbls>
        <c:gapWidth val="444"/>
        <c:overlap val="-90"/>
        <c:axId val="375035384"/>
        <c:axId val="375030288"/>
      </c:barChart>
      <c:catAx>
        <c:axId val="375035384"/>
        <c:scaling>
          <c:orientation val="minMax"/>
        </c:scaling>
        <c:delete val="0"/>
        <c:axPos val="b"/>
        <c:majorGridlines>
          <c:spPr>
            <a:ln w="9556"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56" cap="flat" cmpd="sng" algn="ctr">
            <a:solidFill>
              <a:schemeClr val="tx1">
                <a:lumMod val="15000"/>
                <a:lumOff val="85000"/>
              </a:schemeClr>
            </a:solidFill>
            <a:round/>
          </a:ln>
          <a:effectLst/>
        </c:spPr>
        <c:txPr>
          <a:bodyPr rot="-60000000" spcFirstLastPara="1" vertOverflow="ellipsis" vert="horz" wrap="square" anchor="ctr" anchorCtr="1"/>
          <a:lstStyle/>
          <a:p>
            <a:pPr>
              <a:defRPr sz="803" b="0" i="0" u="none" strike="noStrike" kern="1200" cap="all" spc="120" normalizeH="0" baseline="0">
                <a:solidFill>
                  <a:schemeClr val="tx1">
                    <a:lumMod val="65000"/>
                    <a:lumOff val="35000"/>
                  </a:schemeClr>
                </a:solidFill>
                <a:latin typeface="+mn-lt"/>
                <a:ea typeface="+mn-ea"/>
                <a:cs typeface="+mn-cs"/>
              </a:defRPr>
            </a:pPr>
            <a:endParaRPr lang="en-US"/>
          </a:p>
        </c:txPr>
        <c:crossAx val="375030288"/>
        <c:crosses val="autoZero"/>
        <c:auto val="1"/>
        <c:lblAlgn val="ctr"/>
        <c:lblOffset val="100"/>
        <c:noMultiLvlLbl val="0"/>
      </c:catAx>
      <c:valAx>
        <c:axId val="375030288"/>
        <c:scaling>
          <c:orientation val="minMax"/>
        </c:scaling>
        <c:delete val="1"/>
        <c:axPos val="l"/>
        <c:numFmt formatCode="0%" sourceLinked="1"/>
        <c:majorTickMark val="out"/>
        <c:minorTickMark val="none"/>
        <c:tickLblPos val="nextTo"/>
        <c:crossAx val="375035384"/>
        <c:crosses val="autoZero"/>
        <c:crossBetween val="between"/>
      </c:valAx>
      <c:spPr>
        <a:noFill/>
        <a:ln w="25483">
          <a:noFill/>
        </a:ln>
      </c:spPr>
    </c:plotArea>
    <c:legend>
      <c:legendPos val="t"/>
      <c:layout/>
      <c:overlay val="0"/>
      <c:spPr>
        <a:noFill/>
        <a:ln>
          <a:noFill/>
        </a:ln>
        <a:effectLst/>
      </c:spPr>
      <c:txPr>
        <a:bodyPr rot="0" spcFirstLastPara="1" vertOverflow="ellipsis" vert="horz" wrap="square" anchor="ctr" anchorCtr="1"/>
        <a:lstStyle/>
        <a:p>
          <a:pPr>
            <a:defRPr sz="903"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56"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5" b="1" i="0" u="none" strike="noStrike" kern="1200" cap="all" spc="120" normalizeH="0" baseline="0">
                <a:solidFill>
                  <a:schemeClr val="tx1">
                    <a:lumMod val="65000"/>
                    <a:lumOff val="35000"/>
                  </a:schemeClr>
                </a:solidFill>
                <a:latin typeface="+mn-lt"/>
                <a:ea typeface="+mn-ea"/>
                <a:cs typeface="+mn-cs"/>
              </a:defRPr>
            </a:pPr>
            <a:r>
              <a:rPr lang="en-GB"/>
              <a:t>writing</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PP</c:v>
                </c:pt>
              </c:strCache>
            </c:strRef>
          </c:tx>
          <c:spPr>
            <a:solidFill>
              <a:srgbClr val="FF006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Sheet1!$B$2:$B$7</c:f>
              <c:numCache>
                <c:formatCode>0%</c:formatCode>
                <c:ptCount val="6"/>
                <c:pt idx="0">
                  <c:v>0.8</c:v>
                </c:pt>
                <c:pt idx="1">
                  <c:v>0.43</c:v>
                </c:pt>
                <c:pt idx="2">
                  <c:v>0.9</c:v>
                </c:pt>
                <c:pt idx="3">
                  <c:v>1</c:v>
                </c:pt>
                <c:pt idx="4">
                  <c:v>0.56000000000000005</c:v>
                </c:pt>
                <c:pt idx="5">
                  <c:v>0.9</c:v>
                </c:pt>
              </c:numCache>
            </c:numRef>
          </c:val>
          <c:extLst>
            <c:ext xmlns:c16="http://schemas.microsoft.com/office/drawing/2014/chart" uri="{C3380CC4-5D6E-409C-BE32-E72D297353CC}">
              <c16:uniqueId val="{00000000-4BF1-4023-8122-4CD13DF7360A}"/>
            </c:ext>
          </c:extLst>
        </c:ser>
        <c:ser>
          <c:idx val="1"/>
          <c:order val="1"/>
          <c:tx>
            <c:strRef>
              <c:f>Sheet1!$C$1</c:f>
              <c:strCache>
                <c:ptCount val="1"/>
                <c:pt idx="0">
                  <c:v>PP target</c:v>
                </c:pt>
              </c:strCache>
            </c:strRef>
          </c:tx>
          <c:spPr>
            <a:solidFill>
              <a:srgbClr val="7030A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Sheet1!$C$2:$C$7</c:f>
              <c:numCache>
                <c:formatCode>0%</c:formatCode>
                <c:ptCount val="6"/>
                <c:pt idx="0">
                  <c:v>0.7</c:v>
                </c:pt>
                <c:pt idx="1">
                  <c:v>0.56999999999999995</c:v>
                </c:pt>
                <c:pt idx="2">
                  <c:v>0.9</c:v>
                </c:pt>
                <c:pt idx="3">
                  <c:v>0.9</c:v>
                </c:pt>
                <c:pt idx="4">
                  <c:v>0.56000000000000005</c:v>
                </c:pt>
                <c:pt idx="5">
                  <c:v>0.8</c:v>
                </c:pt>
              </c:numCache>
            </c:numRef>
          </c:val>
          <c:extLst>
            <c:ext xmlns:c16="http://schemas.microsoft.com/office/drawing/2014/chart" uri="{C3380CC4-5D6E-409C-BE32-E72D297353CC}">
              <c16:uniqueId val="{00000001-4BF1-4023-8122-4CD13DF7360A}"/>
            </c:ext>
          </c:extLst>
        </c:ser>
        <c:ser>
          <c:idx val="2"/>
          <c:order val="2"/>
          <c:tx>
            <c:strRef>
              <c:f>Sheet1!$D$1</c:f>
              <c:strCache>
                <c:ptCount val="1"/>
                <c:pt idx="0">
                  <c:v>Non PP</c:v>
                </c:pt>
              </c:strCache>
            </c:strRef>
          </c:tx>
          <c:spPr>
            <a:solidFill>
              <a:srgbClr val="FF990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Sheet1!$D$2:$D$7</c:f>
              <c:numCache>
                <c:formatCode>0%</c:formatCode>
                <c:ptCount val="6"/>
                <c:pt idx="0">
                  <c:v>0.78</c:v>
                </c:pt>
                <c:pt idx="1">
                  <c:v>0.65</c:v>
                </c:pt>
                <c:pt idx="2">
                  <c:v>0.79</c:v>
                </c:pt>
                <c:pt idx="3">
                  <c:v>0.65</c:v>
                </c:pt>
                <c:pt idx="4">
                  <c:v>0.92</c:v>
                </c:pt>
                <c:pt idx="5">
                  <c:v>0.82</c:v>
                </c:pt>
              </c:numCache>
            </c:numRef>
          </c:val>
          <c:extLst>
            <c:ext xmlns:c16="http://schemas.microsoft.com/office/drawing/2014/chart" uri="{C3380CC4-5D6E-409C-BE32-E72D297353CC}">
              <c16:uniqueId val="{00000002-4BF1-4023-8122-4CD13DF7360A}"/>
            </c:ext>
          </c:extLst>
        </c:ser>
        <c:ser>
          <c:idx val="3"/>
          <c:order val="3"/>
          <c:tx>
            <c:strRef>
              <c:f>Sheet1!$E$1</c:f>
              <c:strCache>
                <c:ptCount val="1"/>
                <c:pt idx="0">
                  <c:v>Non PP target</c:v>
                </c:pt>
              </c:strCache>
            </c:strRef>
          </c:tx>
          <c:spPr>
            <a:solidFill>
              <a:srgbClr val="7030A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Sheet1!$E$2:$E$7</c:f>
              <c:numCache>
                <c:formatCode>0%</c:formatCode>
                <c:ptCount val="6"/>
                <c:pt idx="0">
                  <c:v>0.78</c:v>
                </c:pt>
                <c:pt idx="1">
                  <c:v>0.7</c:v>
                </c:pt>
                <c:pt idx="2">
                  <c:v>0.65</c:v>
                </c:pt>
                <c:pt idx="3">
                  <c:v>0.65</c:v>
                </c:pt>
                <c:pt idx="4">
                  <c:v>0.92</c:v>
                </c:pt>
                <c:pt idx="5">
                  <c:v>0.82</c:v>
                </c:pt>
              </c:numCache>
            </c:numRef>
          </c:val>
          <c:extLst>
            <c:ext xmlns:c16="http://schemas.microsoft.com/office/drawing/2014/chart" uri="{C3380CC4-5D6E-409C-BE32-E72D297353CC}">
              <c16:uniqueId val="{00000003-4BF1-4023-8122-4CD13DF7360A}"/>
            </c:ext>
          </c:extLst>
        </c:ser>
        <c:dLbls>
          <c:showLegendKey val="0"/>
          <c:showVal val="0"/>
          <c:showCatName val="0"/>
          <c:showSerName val="0"/>
          <c:showPercent val="0"/>
          <c:showBubbleSize val="0"/>
        </c:dLbls>
        <c:gapWidth val="444"/>
        <c:overlap val="-90"/>
        <c:axId val="375031856"/>
        <c:axId val="375032248"/>
      </c:barChart>
      <c:catAx>
        <c:axId val="375031856"/>
        <c:scaling>
          <c:orientation val="minMax"/>
        </c:scaling>
        <c:delete val="0"/>
        <c:axPos val="b"/>
        <c:majorGridlines>
          <c:spPr>
            <a:ln w="9556"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56" cap="flat" cmpd="sng" algn="ctr">
            <a:solidFill>
              <a:schemeClr val="tx1">
                <a:lumMod val="15000"/>
                <a:lumOff val="85000"/>
              </a:schemeClr>
            </a:solidFill>
            <a:round/>
          </a:ln>
          <a:effectLst/>
        </c:spPr>
        <c:txPr>
          <a:bodyPr rot="-60000000" spcFirstLastPara="1" vertOverflow="ellipsis" vert="horz" wrap="square" anchor="ctr" anchorCtr="1"/>
          <a:lstStyle/>
          <a:p>
            <a:pPr>
              <a:defRPr sz="803" b="0" i="0" u="none" strike="noStrike" kern="1200" cap="all" spc="120" normalizeH="0" baseline="0">
                <a:solidFill>
                  <a:schemeClr val="tx1">
                    <a:lumMod val="65000"/>
                    <a:lumOff val="35000"/>
                  </a:schemeClr>
                </a:solidFill>
                <a:latin typeface="+mn-lt"/>
                <a:ea typeface="+mn-ea"/>
                <a:cs typeface="+mn-cs"/>
              </a:defRPr>
            </a:pPr>
            <a:endParaRPr lang="en-US"/>
          </a:p>
        </c:txPr>
        <c:crossAx val="375032248"/>
        <c:crosses val="autoZero"/>
        <c:auto val="1"/>
        <c:lblAlgn val="ctr"/>
        <c:lblOffset val="100"/>
        <c:noMultiLvlLbl val="0"/>
      </c:catAx>
      <c:valAx>
        <c:axId val="375032248"/>
        <c:scaling>
          <c:orientation val="minMax"/>
        </c:scaling>
        <c:delete val="1"/>
        <c:axPos val="l"/>
        <c:numFmt formatCode="0%" sourceLinked="1"/>
        <c:majorTickMark val="out"/>
        <c:minorTickMark val="none"/>
        <c:tickLblPos val="nextTo"/>
        <c:crossAx val="375031856"/>
        <c:crosses val="autoZero"/>
        <c:crossBetween val="between"/>
      </c:valAx>
      <c:spPr>
        <a:noFill/>
        <a:ln w="25483">
          <a:noFill/>
        </a:ln>
      </c:spPr>
    </c:plotArea>
    <c:legend>
      <c:legendPos val="t"/>
      <c:layout/>
      <c:overlay val="0"/>
      <c:spPr>
        <a:noFill/>
        <a:ln>
          <a:noFill/>
        </a:ln>
        <a:effectLst/>
      </c:spPr>
      <c:txPr>
        <a:bodyPr rot="0" spcFirstLastPara="1" vertOverflow="ellipsis" vert="horz" wrap="square" anchor="ctr" anchorCtr="1"/>
        <a:lstStyle/>
        <a:p>
          <a:pPr>
            <a:defRPr sz="903"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56"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5" b="1" i="0" u="none" strike="noStrike" kern="1200" cap="all" spc="120" normalizeH="0" baseline="0">
                <a:solidFill>
                  <a:schemeClr val="tx1">
                    <a:lumMod val="65000"/>
                    <a:lumOff val="35000"/>
                  </a:schemeClr>
                </a:solidFill>
                <a:latin typeface="+mn-lt"/>
                <a:ea typeface="+mn-ea"/>
                <a:cs typeface="+mn-cs"/>
              </a:defRPr>
            </a:pPr>
            <a:r>
              <a:rPr lang="en-GB"/>
              <a:t>maths</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PP</c:v>
                </c:pt>
              </c:strCache>
            </c:strRef>
          </c:tx>
          <c:spPr>
            <a:solidFill>
              <a:srgbClr val="FF006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Sheet1!$B$2:$B$7</c:f>
              <c:numCache>
                <c:formatCode>0%</c:formatCode>
                <c:ptCount val="6"/>
                <c:pt idx="0">
                  <c:v>0.9</c:v>
                </c:pt>
                <c:pt idx="1">
                  <c:v>0.56999999999999995</c:v>
                </c:pt>
                <c:pt idx="2">
                  <c:v>0.8</c:v>
                </c:pt>
                <c:pt idx="3">
                  <c:v>0.9</c:v>
                </c:pt>
                <c:pt idx="4">
                  <c:v>0.67</c:v>
                </c:pt>
                <c:pt idx="5">
                  <c:v>0.7</c:v>
                </c:pt>
              </c:numCache>
            </c:numRef>
          </c:val>
          <c:extLst>
            <c:ext xmlns:c16="http://schemas.microsoft.com/office/drawing/2014/chart" uri="{C3380CC4-5D6E-409C-BE32-E72D297353CC}">
              <c16:uniqueId val="{00000000-D323-4E54-B09A-79963067E692}"/>
            </c:ext>
          </c:extLst>
        </c:ser>
        <c:ser>
          <c:idx val="1"/>
          <c:order val="1"/>
          <c:tx>
            <c:strRef>
              <c:f>Sheet1!$C$1</c:f>
              <c:strCache>
                <c:ptCount val="1"/>
                <c:pt idx="0">
                  <c:v>PP target</c:v>
                </c:pt>
              </c:strCache>
            </c:strRef>
          </c:tx>
          <c:spPr>
            <a:solidFill>
              <a:srgbClr val="7030A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Sheet1!$C$2:$C$7</c:f>
              <c:numCache>
                <c:formatCode>0%</c:formatCode>
                <c:ptCount val="6"/>
                <c:pt idx="0">
                  <c:v>0.9</c:v>
                </c:pt>
                <c:pt idx="1">
                  <c:v>0.56999999999999995</c:v>
                </c:pt>
                <c:pt idx="2">
                  <c:v>0.8</c:v>
                </c:pt>
                <c:pt idx="3">
                  <c:v>0.9</c:v>
                </c:pt>
                <c:pt idx="4">
                  <c:v>0.67</c:v>
                </c:pt>
                <c:pt idx="5">
                  <c:v>0.8</c:v>
                </c:pt>
              </c:numCache>
            </c:numRef>
          </c:val>
          <c:extLst>
            <c:ext xmlns:c16="http://schemas.microsoft.com/office/drawing/2014/chart" uri="{C3380CC4-5D6E-409C-BE32-E72D297353CC}">
              <c16:uniqueId val="{00000001-D323-4E54-B09A-79963067E692}"/>
            </c:ext>
          </c:extLst>
        </c:ser>
        <c:ser>
          <c:idx val="2"/>
          <c:order val="2"/>
          <c:tx>
            <c:strRef>
              <c:f>Sheet1!$D$1</c:f>
              <c:strCache>
                <c:ptCount val="1"/>
                <c:pt idx="0">
                  <c:v>Non PP</c:v>
                </c:pt>
              </c:strCache>
            </c:strRef>
          </c:tx>
          <c:spPr>
            <a:solidFill>
              <a:srgbClr val="FF990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Sheet1!$D$2:$D$7</c:f>
              <c:numCache>
                <c:formatCode>0%</c:formatCode>
                <c:ptCount val="6"/>
                <c:pt idx="0">
                  <c:v>0.67</c:v>
                </c:pt>
                <c:pt idx="1">
                  <c:v>0.8</c:v>
                </c:pt>
                <c:pt idx="2">
                  <c:v>0.75</c:v>
                </c:pt>
                <c:pt idx="3">
                  <c:v>0.82</c:v>
                </c:pt>
                <c:pt idx="4">
                  <c:v>0.92</c:v>
                </c:pt>
                <c:pt idx="5">
                  <c:v>0.82</c:v>
                </c:pt>
              </c:numCache>
            </c:numRef>
          </c:val>
          <c:extLst>
            <c:ext xmlns:c16="http://schemas.microsoft.com/office/drawing/2014/chart" uri="{C3380CC4-5D6E-409C-BE32-E72D297353CC}">
              <c16:uniqueId val="{00000002-D323-4E54-B09A-79963067E692}"/>
            </c:ext>
          </c:extLst>
        </c:ser>
        <c:ser>
          <c:idx val="3"/>
          <c:order val="3"/>
          <c:tx>
            <c:strRef>
              <c:f>Sheet1!$E$1</c:f>
              <c:strCache>
                <c:ptCount val="1"/>
                <c:pt idx="0">
                  <c:v>Non PP target</c:v>
                </c:pt>
              </c:strCache>
            </c:strRef>
          </c:tx>
          <c:spPr>
            <a:solidFill>
              <a:srgbClr val="7030A0"/>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3"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Sheet1!$A$2:$A$7</c:f>
              <c:strCache>
                <c:ptCount val="6"/>
                <c:pt idx="0">
                  <c:v>Year 1 9chd</c:v>
                </c:pt>
                <c:pt idx="1">
                  <c:v>Year 2 7chd</c:v>
                </c:pt>
                <c:pt idx="2">
                  <c:v>Year 3 10chd</c:v>
                </c:pt>
                <c:pt idx="3">
                  <c:v>Year 4 10chd</c:v>
                </c:pt>
                <c:pt idx="4">
                  <c:v>Year 5 9chd</c:v>
                </c:pt>
                <c:pt idx="5">
                  <c:v>Year 6 10chd</c:v>
                </c:pt>
              </c:strCache>
            </c:strRef>
          </c:cat>
          <c:val>
            <c:numRef>
              <c:f>Sheet1!$E$2:$E$7</c:f>
              <c:numCache>
                <c:formatCode>0%</c:formatCode>
                <c:ptCount val="6"/>
                <c:pt idx="0">
                  <c:v>0.78</c:v>
                </c:pt>
                <c:pt idx="1">
                  <c:v>0.85</c:v>
                </c:pt>
                <c:pt idx="2">
                  <c:v>0.65</c:v>
                </c:pt>
                <c:pt idx="3">
                  <c:v>0.82</c:v>
                </c:pt>
                <c:pt idx="4">
                  <c:v>0.92</c:v>
                </c:pt>
                <c:pt idx="5">
                  <c:v>0.82</c:v>
                </c:pt>
              </c:numCache>
            </c:numRef>
          </c:val>
          <c:extLst>
            <c:ext xmlns:c16="http://schemas.microsoft.com/office/drawing/2014/chart" uri="{C3380CC4-5D6E-409C-BE32-E72D297353CC}">
              <c16:uniqueId val="{00000003-D323-4E54-B09A-79963067E692}"/>
            </c:ext>
          </c:extLst>
        </c:ser>
        <c:dLbls>
          <c:showLegendKey val="0"/>
          <c:showVal val="0"/>
          <c:showCatName val="0"/>
          <c:showSerName val="0"/>
          <c:showPercent val="0"/>
          <c:showBubbleSize val="0"/>
        </c:dLbls>
        <c:gapWidth val="444"/>
        <c:overlap val="-90"/>
        <c:axId val="375033032"/>
        <c:axId val="372472136"/>
      </c:barChart>
      <c:catAx>
        <c:axId val="375033032"/>
        <c:scaling>
          <c:orientation val="minMax"/>
        </c:scaling>
        <c:delete val="0"/>
        <c:axPos val="b"/>
        <c:majorGridlines>
          <c:spPr>
            <a:ln w="9556"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56" cap="flat" cmpd="sng" algn="ctr">
            <a:solidFill>
              <a:schemeClr val="tx1">
                <a:lumMod val="15000"/>
                <a:lumOff val="85000"/>
              </a:schemeClr>
            </a:solidFill>
            <a:round/>
          </a:ln>
          <a:effectLst/>
        </c:spPr>
        <c:txPr>
          <a:bodyPr rot="-60000000" spcFirstLastPara="1" vertOverflow="ellipsis" vert="horz" wrap="square" anchor="ctr" anchorCtr="1"/>
          <a:lstStyle/>
          <a:p>
            <a:pPr>
              <a:defRPr sz="803" b="0" i="0" u="none" strike="noStrike" kern="1200" cap="all" spc="120" normalizeH="0" baseline="0">
                <a:solidFill>
                  <a:schemeClr val="tx1">
                    <a:lumMod val="65000"/>
                    <a:lumOff val="35000"/>
                  </a:schemeClr>
                </a:solidFill>
                <a:latin typeface="+mn-lt"/>
                <a:ea typeface="+mn-ea"/>
                <a:cs typeface="+mn-cs"/>
              </a:defRPr>
            </a:pPr>
            <a:endParaRPr lang="en-US"/>
          </a:p>
        </c:txPr>
        <c:crossAx val="372472136"/>
        <c:crosses val="autoZero"/>
        <c:auto val="1"/>
        <c:lblAlgn val="ctr"/>
        <c:lblOffset val="100"/>
        <c:noMultiLvlLbl val="0"/>
      </c:catAx>
      <c:valAx>
        <c:axId val="372472136"/>
        <c:scaling>
          <c:orientation val="minMax"/>
        </c:scaling>
        <c:delete val="1"/>
        <c:axPos val="l"/>
        <c:numFmt formatCode="0%" sourceLinked="1"/>
        <c:majorTickMark val="out"/>
        <c:minorTickMark val="none"/>
        <c:tickLblPos val="nextTo"/>
        <c:crossAx val="375033032"/>
        <c:crosses val="autoZero"/>
        <c:crossBetween val="between"/>
      </c:valAx>
      <c:spPr>
        <a:noFill/>
        <a:ln w="25483">
          <a:noFill/>
        </a:ln>
      </c:spPr>
    </c:plotArea>
    <c:legend>
      <c:legendPos val="t"/>
      <c:layout/>
      <c:overlay val="0"/>
      <c:spPr>
        <a:noFill/>
        <a:ln>
          <a:noFill/>
        </a:ln>
        <a:effectLst/>
      </c:spPr>
      <c:txPr>
        <a:bodyPr rot="0" spcFirstLastPara="1" vertOverflow="ellipsis" vert="horz" wrap="square" anchor="ctr" anchorCtr="1"/>
        <a:lstStyle/>
        <a:p>
          <a:pPr>
            <a:defRPr sz="903"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56"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A21AF-3C66-4E6B-B4E9-CB648932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1476</Words>
  <Characters>8415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WLMUSER</dc:creator>
  <cp:keywords/>
  <dc:description/>
  <cp:lastModifiedBy>Xanthe Moragrega</cp:lastModifiedBy>
  <cp:revision>3</cp:revision>
  <cp:lastPrinted>2019-09-20T14:39:00Z</cp:lastPrinted>
  <dcterms:created xsi:type="dcterms:W3CDTF">2019-09-20T15:19:00Z</dcterms:created>
  <dcterms:modified xsi:type="dcterms:W3CDTF">2019-09-20T15:52:00Z</dcterms:modified>
</cp:coreProperties>
</file>